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A5580" w14:textId="36AEEE25" w:rsidR="007126F6" w:rsidRPr="00425E2D"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5405ECF6" wp14:editId="02607469">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FBF8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8C7599">
        <w:rPr>
          <w:rFonts w:eastAsia="Dotum"/>
          <w:b/>
          <w:bCs/>
          <w:noProof/>
          <w:sz w:val="24"/>
          <w:szCs w:val="18"/>
        </w:rPr>
        <w:t>5</w:t>
      </w:r>
      <w:r w:rsidRPr="007126F6">
        <w:rPr>
          <w:rFonts w:cs="黑体"/>
          <w:b/>
          <w:bCs/>
          <w:noProof/>
          <w:sz w:val="24"/>
          <w:szCs w:val="22"/>
        </w:rPr>
        <w:t>-e</w:t>
      </w:r>
      <w:r w:rsidRPr="007126F6">
        <w:rPr>
          <w:rFonts w:eastAsia="Dotum"/>
          <w:b/>
          <w:bCs/>
          <w:noProof/>
          <w:sz w:val="24"/>
          <w:szCs w:val="18"/>
        </w:rPr>
        <w:tab/>
      </w:r>
      <w:r w:rsidR="00425E2D" w:rsidRPr="00425E2D">
        <w:rPr>
          <w:rFonts w:eastAsia="Dotum"/>
          <w:b/>
          <w:bCs/>
          <w:noProof/>
          <w:sz w:val="24"/>
          <w:szCs w:val="18"/>
        </w:rPr>
        <w:t>R2-2107252</w:t>
      </w:r>
    </w:p>
    <w:p w14:paraId="6EDED6C1" w14:textId="77777777" w:rsidR="0097006C" w:rsidRPr="001A6C5F" w:rsidRDefault="008C7599" w:rsidP="007126F6">
      <w:pPr>
        <w:pStyle w:val="a8"/>
        <w:tabs>
          <w:tab w:val="right" w:pos="9630"/>
        </w:tabs>
        <w:rPr>
          <w:rFonts w:eastAsia="宋体"/>
          <w:bCs w:val="0"/>
          <w:noProof w:val="0"/>
          <w:sz w:val="24"/>
          <w:szCs w:val="20"/>
        </w:rPr>
      </w:pPr>
      <w:r w:rsidRPr="008C7599">
        <w:rPr>
          <w:rFonts w:eastAsia="宋体" w:cs="黑体"/>
          <w:bCs w:val="0"/>
          <w:noProof w:val="0"/>
          <w:sz w:val="24"/>
          <w:szCs w:val="22"/>
        </w:rPr>
        <w:t>Online, 9 - 27 August 2021</w:t>
      </w:r>
      <w:r w:rsidR="007412E4">
        <w:rPr>
          <w:rFonts w:eastAsia="宋体" w:cs="黑体"/>
          <w:bCs w:val="0"/>
          <w:noProof w:val="0"/>
          <w:sz w:val="24"/>
          <w:szCs w:val="22"/>
        </w:rPr>
        <w:t xml:space="preserve">                          </w:t>
      </w:r>
      <w:r w:rsidR="00E96564" w:rsidRPr="007C408D">
        <w:rPr>
          <w:sz w:val="24"/>
        </w:rPr>
        <w:tab/>
      </w:r>
      <w:r w:rsidR="00362A6B" w:rsidRPr="007C408D">
        <w:rPr>
          <w:sz w:val="24"/>
        </w:rPr>
        <w:tab/>
      </w:r>
    </w:p>
    <w:p w14:paraId="75E1A059" w14:textId="77777777" w:rsidR="008C7599" w:rsidRDefault="008C7599" w:rsidP="008C7599">
      <w:pPr>
        <w:tabs>
          <w:tab w:val="left" w:pos="1985"/>
        </w:tabs>
        <w:rPr>
          <w:rFonts w:cs="Arial"/>
          <w:b/>
          <w:sz w:val="22"/>
        </w:rPr>
      </w:pPr>
      <w:r>
        <w:rPr>
          <w:rFonts w:cs="Arial"/>
          <w:b/>
          <w:sz w:val="22"/>
        </w:rPr>
        <w:t xml:space="preserve">Source: </w:t>
      </w:r>
      <w:r>
        <w:rPr>
          <w:rFonts w:cs="Arial"/>
          <w:b/>
          <w:sz w:val="22"/>
        </w:rPr>
        <w:tab/>
      </w:r>
      <w:r>
        <w:rPr>
          <w:rFonts w:cs="Arial"/>
          <w:sz w:val="22"/>
        </w:rPr>
        <w:t>Huawei, HiSilicon</w:t>
      </w:r>
    </w:p>
    <w:p w14:paraId="6BD16872" w14:textId="7790DE7D" w:rsidR="008C7599" w:rsidRPr="00510695" w:rsidRDefault="008C7599" w:rsidP="008C7599">
      <w:pPr>
        <w:ind w:left="1985" w:hanging="1985"/>
        <w:rPr>
          <w:rFonts w:cs="Arial"/>
          <w:sz w:val="22"/>
        </w:rPr>
      </w:pPr>
      <w:r>
        <w:rPr>
          <w:rFonts w:cs="Arial"/>
          <w:b/>
          <w:sz w:val="22"/>
        </w:rPr>
        <w:t>Title:</w:t>
      </w:r>
      <w:r>
        <w:rPr>
          <w:rFonts w:cs="Arial"/>
          <w:sz w:val="22"/>
        </w:rPr>
        <w:t xml:space="preserve"> </w:t>
      </w:r>
      <w:r>
        <w:rPr>
          <w:rFonts w:cs="Arial"/>
          <w:sz w:val="22"/>
        </w:rPr>
        <w:tab/>
      </w:r>
      <w:r w:rsidR="00510695" w:rsidRPr="00510695">
        <w:rPr>
          <w:rFonts w:cs="Arial"/>
          <w:sz w:val="22"/>
        </w:rPr>
        <w:t>Discussion on two logical DUs and service interruption reduction for RAN3 LS</w:t>
      </w:r>
    </w:p>
    <w:p w14:paraId="5BA0CFD4" w14:textId="74FF104F" w:rsidR="008C7599" w:rsidRPr="000A2AFE" w:rsidRDefault="008C7599" w:rsidP="008C7599">
      <w:pPr>
        <w:tabs>
          <w:tab w:val="left" w:pos="1985"/>
        </w:tabs>
        <w:rPr>
          <w:rFonts w:cs="Arial"/>
          <w:sz w:val="22"/>
        </w:rPr>
      </w:pPr>
      <w:r>
        <w:rPr>
          <w:rFonts w:cs="Arial"/>
          <w:b/>
          <w:sz w:val="22"/>
        </w:rPr>
        <w:t>Agenda Item:</w:t>
      </w:r>
      <w:r>
        <w:rPr>
          <w:rFonts w:cs="Arial"/>
          <w:sz w:val="22"/>
        </w:rPr>
        <w:tab/>
      </w:r>
      <w:r w:rsidR="00316C61" w:rsidRPr="00316C61">
        <w:rPr>
          <w:rFonts w:cs="Arial"/>
          <w:sz w:val="22"/>
        </w:rPr>
        <w:t>8.4.3</w:t>
      </w:r>
    </w:p>
    <w:p w14:paraId="4351DFF1" w14:textId="77777777" w:rsidR="008C7599" w:rsidRPr="008C7599" w:rsidRDefault="008C7599" w:rsidP="008C7599">
      <w:pPr>
        <w:tabs>
          <w:tab w:val="left" w:pos="1985"/>
        </w:tabs>
        <w:rPr>
          <w:rFonts w:cs="Arial"/>
          <w:sz w:val="22"/>
        </w:rPr>
      </w:pPr>
      <w:r>
        <w:rPr>
          <w:rFonts w:cs="Arial"/>
          <w:b/>
          <w:sz w:val="22"/>
        </w:rPr>
        <w:t>Document for:</w:t>
      </w:r>
      <w:r>
        <w:rPr>
          <w:rFonts w:cs="Arial"/>
          <w:sz w:val="22"/>
        </w:rPr>
        <w:tab/>
        <w:t>Discussion</w:t>
      </w:r>
    </w:p>
    <w:p w14:paraId="3708F7EB" w14:textId="77777777" w:rsidR="00652667" w:rsidRPr="00BC4D0B" w:rsidRDefault="00652667" w:rsidP="0072451D">
      <w:pPr>
        <w:pStyle w:val="1"/>
      </w:pPr>
      <w:r w:rsidRPr="0072451D">
        <w:rPr>
          <w:lang w:val="en-US"/>
        </w:rPr>
        <w:t>Introduction</w:t>
      </w:r>
      <w:bookmarkStart w:id="0" w:name="_Ref174151459"/>
      <w:bookmarkStart w:id="1" w:name="_Ref189809556"/>
    </w:p>
    <w:p w14:paraId="6E1BC444" w14:textId="77777777" w:rsidR="008C7599" w:rsidRPr="00693FFD" w:rsidRDefault="00C33878" w:rsidP="008E6A80">
      <w:pPr>
        <w:spacing w:after="60"/>
        <w:rPr>
          <w:rFonts w:ascii="Times New Roman" w:hAnsi="Times New Roman"/>
          <w:i/>
          <w:lang w:val="en-GB"/>
        </w:rPr>
      </w:pPr>
      <w:r>
        <w:rPr>
          <w:rFonts w:ascii="Times New Roman" w:hAnsi="Times New Roman" w:hint="eastAsia"/>
          <w:lang w:val="en-GB"/>
        </w:rPr>
        <w:t>I</w:t>
      </w:r>
      <w:r>
        <w:rPr>
          <w:rFonts w:ascii="Times New Roman" w:hAnsi="Times New Roman"/>
          <w:lang w:val="en-GB"/>
        </w:rPr>
        <w:t xml:space="preserve">n </w:t>
      </w:r>
      <w:r w:rsidR="008C7599">
        <w:rPr>
          <w:rFonts w:ascii="Times New Roman" w:hAnsi="Times New Roman"/>
          <w:lang w:val="en-GB"/>
        </w:rPr>
        <w:t xml:space="preserve">the </w:t>
      </w:r>
      <w:r>
        <w:rPr>
          <w:rFonts w:ascii="Times New Roman" w:hAnsi="Times New Roman"/>
          <w:lang w:val="en-GB"/>
        </w:rPr>
        <w:t>RAN</w:t>
      </w:r>
      <w:r w:rsidR="008E6A80">
        <w:rPr>
          <w:rFonts w:ascii="Times New Roman" w:hAnsi="Times New Roman"/>
          <w:lang w:val="en-GB"/>
        </w:rPr>
        <w:t>3</w:t>
      </w:r>
      <w:r w:rsidR="008C7599">
        <w:rPr>
          <w:rFonts w:ascii="Times New Roman" w:hAnsi="Times New Roman"/>
          <w:lang w:val="en-GB"/>
        </w:rPr>
        <w:t xml:space="preserve"> </w:t>
      </w:r>
      <w:r w:rsidR="008C7599" w:rsidRPr="008C7599">
        <w:rPr>
          <w:rFonts w:ascii="Times New Roman" w:hAnsi="Times New Roman"/>
          <w:lang w:val="en-GB"/>
        </w:rPr>
        <w:t>#11</w:t>
      </w:r>
      <w:r w:rsidR="008E6A80">
        <w:rPr>
          <w:rFonts w:ascii="Times New Roman" w:hAnsi="Times New Roman"/>
          <w:lang w:val="en-GB"/>
        </w:rPr>
        <w:t>2</w:t>
      </w:r>
      <w:r w:rsidR="008C7599" w:rsidRPr="008C7599">
        <w:rPr>
          <w:rFonts w:ascii="Times New Roman" w:hAnsi="Times New Roman"/>
          <w:lang w:val="en-GB"/>
        </w:rPr>
        <w:t>-e</w:t>
      </w:r>
      <w:r>
        <w:rPr>
          <w:rFonts w:ascii="Times New Roman" w:hAnsi="Times New Roman"/>
          <w:lang w:val="en-GB"/>
        </w:rPr>
        <w:t xml:space="preserve"> meeting,</w:t>
      </w:r>
      <w:r w:rsidR="008E6A80">
        <w:rPr>
          <w:rFonts w:ascii="Times New Roman" w:hAnsi="Times New Roman"/>
          <w:lang w:val="en-GB"/>
        </w:rPr>
        <w:t xml:space="preserve"> how to support the inter-donor IAB node migration is discussed, in addition, some solutions for the service interruption </w:t>
      </w:r>
      <w:r w:rsidR="00336566">
        <w:rPr>
          <w:rFonts w:ascii="Times New Roman" w:hAnsi="Times New Roman"/>
          <w:lang w:val="en-GB"/>
        </w:rPr>
        <w:t xml:space="preserve">reduction </w:t>
      </w:r>
      <w:r w:rsidR="008E6A80">
        <w:rPr>
          <w:rFonts w:ascii="Times New Roman" w:hAnsi="Times New Roman"/>
          <w:lang w:val="en-GB"/>
        </w:rPr>
        <w:t>during the intra-CU topology update are discussed. Considering both issues has RAN2 impact, RAN3 has sent two Liaisons (</w:t>
      </w:r>
      <w:r w:rsidR="008E6A80">
        <w:rPr>
          <w:rFonts w:ascii="Times New Roman" w:hAnsi="Times New Roman"/>
          <w:b/>
          <w:bCs/>
          <w:lang w:val="en-GB"/>
        </w:rPr>
        <w:t>R3-212981 and R3-212973</w:t>
      </w:r>
      <w:r w:rsidR="008E6A80">
        <w:rPr>
          <w:rFonts w:ascii="Times New Roman" w:hAnsi="Times New Roman"/>
          <w:lang w:val="en-GB"/>
        </w:rPr>
        <w:t>) to RAN2</w:t>
      </w:r>
      <w:r w:rsidR="00336566">
        <w:rPr>
          <w:rFonts w:ascii="Times New Roman" w:hAnsi="Times New Roman"/>
          <w:lang w:val="en-GB"/>
        </w:rPr>
        <w:t>.</w:t>
      </w:r>
    </w:p>
    <w:p w14:paraId="3A455300" w14:textId="7B7D5412" w:rsidR="00D24F96" w:rsidRPr="00E577CD" w:rsidRDefault="007F3E1F" w:rsidP="008C7599">
      <w:pPr>
        <w:spacing w:after="60"/>
        <w:rPr>
          <w:rFonts w:ascii="Times New Roman" w:hAnsi="Times New Roman"/>
          <w:lang w:val="en-GB"/>
        </w:rPr>
      </w:pPr>
      <w:r w:rsidRPr="00E577CD">
        <w:rPr>
          <w:rFonts w:ascii="Times New Roman" w:hAnsi="Times New Roman"/>
          <w:lang w:val="en-GB"/>
        </w:rPr>
        <w:t xml:space="preserve">In this </w:t>
      </w:r>
      <w:r w:rsidR="008C7599">
        <w:rPr>
          <w:rFonts w:ascii="Times New Roman" w:hAnsi="Times New Roman"/>
          <w:lang w:val="en-GB"/>
        </w:rPr>
        <w:t>contribution</w:t>
      </w:r>
      <w:r w:rsidRPr="00E577CD">
        <w:rPr>
          <w:rFonts w:ascii="Times New Roman" w:hAnsi="Times New Roman"/>
          <w:lang w:val="en-GB"/>
        </w:rPr>
        <w:t xml:space="preserve">, we </w:t>
      </w:r>
      <w:r w:rsidR="00336566">
        <w:rPr>
          <w:rFonts w:ascii="Times New Roman" w:hAnsi="Times New Roman"/>
          <w:lang w:val="en-GB"/>
        </w:rPr>
        <w:t xml:space="preserve">will discuss the issues related to two logical DUs to support the inter-donor full migration, based on the LS R3-212981, and analyse the RAN2 impact for the two solutions of service interruption reduction based on the </w:t>
      </w:r>
      <w:bookmarkStart w:id="2" w:name="OLE_LINK28"/>
      <w:r w:rsidR="00336566">
        <w:rPr>
          <w:rFonts w:ascii="Times New Roman" w:hAnsi="Times New Roman"/>
          <w:lang w:val="en-GB"/>
        </w:rPr>
        <w:t>LS R3-212973</w:t>
      </w:r>
      <w:bookmarkEnd w:id="2"/>
      <w:r w:rsidR="00E577CD">
        <w:rPr>
          <w:rFonts w:ascii="Times New Roman" w:hAnsi="Times New Roman"/>
          <w:lang w:val="en-GB"/>
        </w:rPr>
        <w:t xml:space="preserve">. </w:t>
      </w:r>
      <w:r w:rsidR="00D24F96" w:rsidRPr="00E577CD">
        <w:rPr>
          <w:rFonts w:ascii="Times New Roman" w:hAnsi="Times New Roman"/>
          <w:lang w:val="en-GB"/>
        </w:rPr>
        <w:t xml:space="preserve"> </w:t>
      </w:r>
    </w:p>
    <w:p w14:paraId="108DE8DD" w14:textId="77777777" w:rsidR="00CC64F8" w:rsidRPr="000A100B" w:rsidRDefault="006B2C07" w:rsidP="009D509F">
      <w:pPr>
        <w:pStyle w:val="1"/>
        <w:spacing w:before="120" w:after="120"/>
        <w:ind w:left="431" w:hanging="431"/>
        <w:rPr>
          <w:rFonts w:eastAsia="宋体"/>
          <w:lang w:val="en-US"/>
        </w:rPr>
      </w:pPr>
      <w:r>
        <w:rPr>
          <w:rFonts w:eastAsia="宋体"/>
          <w:lang w:val="en-US"/>
        </w:rPr>
        <w:t>Discussion</w:t>
      </w:r>
    </w:p>
    <w:p w14:paraId="2F2B332A" w14:textId="77777777" w:rsidR="00FF79E8" w:rsidRPr="00FF79E8" w:rsidRDefault="006D2D9C" w:rsidP="00471EB1">
      <w:pPr>
        <w:pStyle w:val="2"/>
        <w:ind w:left="578" w:hanging="578"/>
      </w:pPr>
      <w:r>
        <w:t xml:space="preserve">Issues related to two logical DUs in LS </w:t>
      </w:r>
      <w:bookmarkStart w:id="3" w:name="OLE_LINK27"/>
      <w:r w:rsidRPr="006D2D9C">
        <w:rPr>
          <w:rFonts w:eastAsiaTheme="minorEastAsia"/>
        </w:rPr>
        <w:t>R3-212981</w:t>
      </w:r>
      <w:bookmarkEnd w:id="3"/>
    </w:p>
    <w:p w14:paraId="275693AC" w14:textId="77777777" w:rsidR="00685C3F" w:rsidRDefault="00C56CE3" w:rsidP="0054576C">
      <w:pPr>
        <w:spacing w:after="180"/>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ccording to the content included in the LS R3-212981</w:t>
      </w:r>
      <w:r w:rsidR="00685C3F">
        <w:rPr>
          <w:rFonts w:ascii="Times New Roman" w:hAnsi="Times New Roman"/>
          <w:lang w:val="en-GB"/>
        </w:rPr>
        <w:t>[1]</w:t>
      </w:r>
      <w:r w:rsidR="007F1AB9">
        <w:rPr>
          <w:rFonts w:ascii="Times New Roman" w:hAnsi="Times New Roman"/>
          <w:lang w:val="en-GB"/>
        </w:rPr>
        <w:t>,</w:t>
      </w:r>
      <w:r w:rsidR="00900C9A">
        <w:rPr>
          <w:rFonts w:ascii="Times New Roman" w:hAnsi="Times New Roman"/>
          <w:lang w:val="en-GB"/>
        </w:rPr>
        <w:t xml:space="preserve"> to support the full migration, two logical IAB-DUs in an IAB node are proposed. </w:t>
      </w:r>
    </w:p>
    <w:p w14:paraId="3F6BF6EA" w14:textId="77777777" w:rsidR="00685C3F" w:rsidRDefault="00685C3F" w:rsidP="00685C3F">
      <w:pPr>
        <w:widowControl w:val="0"/>
        <w:jc w:val="center"/>
        <w:rPr>
          <w:rFonts w:cs="Arial"/>
        </w:rPr>
      </w:pPr>
      <w:r>
        <w:object w:dxaOrig="19636" w:dyaOrig="10562" w14:anchorId="495E8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6pt;height:185.9pt" o:ole="">
            <v:imagedata r:id="rId8" o:title=""/>
          </v:shape>
          <o:OLEObject Type="Embed" ProgID="Visio.Drawing.15" ShapeID="_x0000_i1025" DrawAspect="Content" ObjectID="_1689753928" r:id="rId9"/>
        </w:object>
      </w:r>
    </w:p>
    <w:p w14:paraId="2BEC4926" w14:textId="77777777" w:rsidR="00685C3F" w:rsidRPr="007577FC" w:rsidRDefault="00685C3F" w:rsidP="00685C3F">
      <w:pPr>
        <w:widowControl w:val="0"/>
        <w:jc w:val="center"/>
        <w:rPr>
          <w:rFonts w:cs="Arial"/>
          <w:b/>
          <w:bCs/>
        </w:rPr>
      </w:pPr>
      <w:r w:rsidRPr="007577FC">
        <w:rPr>
          <w:rFonts w:cs="Arial"/>
          <w:b/>
          <w:bCs/>
        </w:rPr>
        <w:t>Figure 1: UE handover between cells pertaining to different logical IAB-DUs connected to separate CUs</w:t>
      </w:r>
    </w:p>
    <w:p w14:paraId="22BEFDFD" w14:textId="77777777" w:rsidR="0036760D" w:rsidRDefault="00900C9A" w:rsidP="0054576C">
      <w:pPr>
        <w:spacing w:after="180"/>
        <w:jc w:val="left"/>
        <w:rPr>
          <w:rFonts w:ascii="Times New Roman" w:hAnsi="Times New Roman"/>
          <w:lang w:val="en-GB"/>
        </w:rPr>
      </w:pPr>
      <w:r>
        <w:rPr>
          <w:rFonts w:ascii="Times New Roman" w:hAnsi="Times New Roman"/>
          <w:lang w:val="en-GB"/>
        </w:rPr>
        <w:t>And R</w:t>
      </w:r>
      <w:r w:rsidR="0063679E">
        <w:rPr>
          <w:rFonts w:ascii="Times New Roman" w:hAnsi="Times New Roman"/>
          <w:lang w:val="en-GB"/>
        </w:rPr>
        <w:t>AN</w:t>
      </w:r>
      <w:r>
        <w:rPr>
          <w:rFonts w:ascii="Times New Roman" w:hAnsi="Times New Roman"/>
          <w:lang w:val="en-GB"/>
        </w:rPr>
        <w:t>3 provides two different implementation alternatives for the two logical DUs:</w:t>
      </w:r>
    </w:p>
    <w:p w14:paraId="14229BD2" w14:textId="77777777" w:rsidR="00685C3F" w:rsidRPr="00C30603" w:rsidRDefault="00685C3F" w:rsidP="00685C3F">
      <w:pPr>
        <w:widowControl w:val="0"/>
        <w:rPr>
          <w:rFonts w:cs="Arial"/>
        </w:rPr>
      </w:pPr>
      <w:r w:rsidRPr="00C30603">
        <w:rPr>
          <w:rFonts w:cs="Arial"/>
        </w:rPr>
        <w:t xml:space="preserve">- </w:t>
      </w:r>
      <w:r w:rsidRPr="00C30603">
        <w:rPr>
          <w:rFonts w:cs="Arial"/>
          <w:b/>
        </w:rPr>
        <w:t>Alt1</w:t>
      </w:r>
      <w:r w:rsidRPr="00C30603">
        <w:rPr>
          <w:rFonts w:cs="Arial"/>
        </w:rPr>
        <w:t>: the two logical DUs use separate physical cell resources</w:t>
      </w:r>
    </w:p>
    <w:p w14:paraId="0EC070A7" w14:textId="77777777" w:rsidR="00685C3F" w:rsidRPr="00C30603" w:rsidRDefault="00685C3F" w:rsidP="00685C3F">
      <w:pPr>
        <w:widowControl w:val="0"/>
        <w:rPr>
          <w:rFonts w:cs="Arial"/>
        </w:rPr>
      </w:pPr>
      <w:r w:rsidRPr="00C30603">
        <w:rPr>
          <w:rFonts w:cs="Arial"/>
        </w:rPr>
        <w:t xml:space="preserve">- </w:t>
      </w:r>
      <w:r w:rsidRPr="00C30603">
        <w:rPr>
          <w:rFonts w:cs="Arial"/>
          <w:b/>
        </w:rPr>
        <w:t>Alt2</w:t>
      </w:r>
      <w:r w:rsidRPr="00C30603">
        <w:rPr>
          <w:rFonts w:cs="Arial"/>
        </w:rPr>
        <w:t>: the two logical DUs use the same physical cell resources</w:t>
      </w:r>
    </w:p>
    <w:p w14:paraId="07AE7456" w14:textId="77777777" w:rsidR="00685C3F" w:rsidRPr="00685C3F" w:rsidRDefault="00685C3F" w:rsidP="0054576C">
      <w:pPr>
        <w:spacing w:after="180"/>
        <w:jc w:val="left"/>
        <w:rPr>
          <w:rFonts w:ascii="Times New Roman" w:hAnsi="Times New Roman"/>
        </w:rPr>
      </w:pPr>
      <w:r>
        <w:rPr>
          <w:rFonts w:ascii="Times New Roman" w:hAnsi="Times New Roman"/>
        </w:rPr>
        <w:t>Some explanation and questions about the two alternatives from RAN3 are listed in the LS as following:</w:t>
      </w:r>
    </w:p>
    <w:p w14:paraId="4AB1CD86" w14:textId="77777777" w:rsidR="00900C9A" w:rsidRDefault="00900C9A" w:rsidP="0054576C">
      <w:pPr>
        <w:spacing w:after="180"/>
        <w:jc w:val="left"/>
        <w:rPr>
          <w:rFonts w:ascii="Times New Roman" w:hAnsi="Times New Roman"/>
          <w:lang w:val="en-GB"/>
        </w:rPr>
      </w:pPr>
      <w:r w:rsidRPr="00900C9A">
        <w:rPr>
          <w:rFonts w:ascii="Times New Roman" w:hAnsi="Times New Roman"/>
          <w:noProof/>
        </w:rPr>
        <w:lastRenderedPageBreak/>
        <mc:AlternateContent>
          <mc:Choice Requires="wps">
            <w:drawing>
              <wp:inline distT="0" distB="0" distL="0" distR="0" wp14:anchorId="4A8EC0BD" wp14:editId="6184FDE1">
                <wp:extent cx="6150902" cy="1404620"/>
                <wp:effectExtent l="0" t="0" r="2159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902" cy="1404620"/>
                        </a:xfrm>
                        <a:prstGeom prst="rect">
                          <a:avLst/>
                        </a:prstGeom>
                        <a:solidFill>
                          <a:srgbClr val="FFFFFF"/>
                        </a:solidFill>
                        <a:ln w="9525">
                          <a:solidFill>
                            <a:srgbClr val="000000"/>
                          </a:solidFill>
                          <a:miter lim="800000"/>
                          <a:headEnd/>
                          <a:tailEnd/>
                        </a:ln>
                      </wps:spPr>
                      <wps:txbx>
                        <w:txbxContent>
                          <w:p w14:paraId="52A9A16A" w14:textId="77777777" w:rsidR="00AC421A" w:rsidRPr="00685C3F" w:rsidRDefault="00AC421A" w:rsidP="00900C9A">
                            <w:pPr>
                              <w:widowControl w:val="0"/>
                              <w:rPr>
                                <w:rFonts w:cs="Arial"/>
                              </w:rPr>
                            </w:pPr>
                            <w:r w:rsidRPr="00685C3F">
                              <w:rPr>
                                <w:rFonts w:cs="Arial" w:hint="eastAsia"/>
                              </w:rPr>
                              <w:t>F</w:t>
                            </w:r>
                            <w:r w:rsidRPr="00685C3F">
                              <w:rPr>
                                <w:rFonts w:cs="Arial"/>
                              </w:rPr>
                              <w:t xml:space="preserve">or </w:t>
                            </w:r>
                            <w:r w:rsidRPr="00685C3F">
                              <w:rPr>
                                <w:rFonts w:cs="Arial"/>
                                <w:b/>
                              </w:rPr>
                              <w:t>Alt1</w:t>
                            </w:r>
                            <w:r w:rsidRPr="00685C3F">
                              <w:rPr>
                                <w:rFonts w:cs="Arial"/>
                              </w:rPr>
                              <w:t xml:space="preserve">, RAN3 understands that the UEs can be smoothly handed over from a cell of one logical DU to a cell of the other logical DU via the legacy handover procedure. During the handover procedure, both cells from each logical DU should be active, since some UEs are already handed over to the target cell, while other UEs have not started the handover yet. However, it may be argued that the use of separate resources is less efficient. </w:t>
                            </w:r>
                          </w:p>
                          <w:p w14:paraId="50A23AB2" w14:textId="77777777" w:rsidR="00AC421A" w:rsidRPr="00685C3F" w:rsidRDefault="00AC421A" w:rsidP="00900C9A">
                            <w:pPr>
                              <w:pStyle w:val="afd"/>
                              <w:snapToGrid w:val="0"/>
                              <w:spacing w:after="0" w:afterAutospacing="0"/>
                              <w:rPr>
                                <w:rFonts w:ascii="Arial" w:eastAsia="等线" w:hAnsi="Arial" w:cs="Arial"/>
                                <w:sz w:val="20"/>
                                <w:szCs w:val="20"/>
                                <w:lang w:val="en-GB"/>
                              </w:rPr>
                            </w:pPr>
                            <w:r w:rsidRPr="00685C3F">
                              <w:rPr>
                                <w:rFonts w:ascii="Arial" w:eastAsia="等线" w:hAnsi="Arial" w:cs="Arial"/>
                                <w:sz w:val="20"/>
                                <w:szCs w:val="20"/>
                                <w:lang w:val="en-GB"/>
                              </w:rPr>
                              <w:t xml:space="preserve">For </w:t>
                            </w:r>
                            <w:r w:rsidRPr="00685C3F">
                              <w:rPr>
                                <w:rFonts w:ascii="Arial" w:eastAsia="等线" w:hAnsi="Arial" w:cs="Arial"/>
                                <w:b/>
                                <w:sz w:val="20"/>
                                <w:szCs w:val="20"/>
                                <w:lang w:val="en-GB"/>
                              </w:rPr>
                              <w:t>Alt2</w:t>
                            </w:r>
                            <w:r w:rsidRPr="00685C3F">
                              <w:rPr>
                                <w:rFonts w:ascii="Arial" w:eastAsia="等线" w:hAnsi="Arial" w:cs="Arial"/>
                                <w:sz w:val="20"/>
                                <w:szCs w:val="20"/>
                                <w:lang w:val="en-GB"/>
                              </w:rPr>
                              <w:t>, the serving cell (e.g. cell1) of DU1 controlled by CU1 must broadcast NCGI related to CU1, while the serving cell (e.g. cell2) of DU2 controlled by CU2 must broadcast NCGI related to CU2. Since the air interface resources are shared between the 2 DUs/cells, only the signals from one cell (either cell1 using NCGI related to CU1, or cell2 using NCGI related to CU2) are active over the air interface at a time. It is therefore unclear about the impact to the UEs during the migration. For example, in case both cell1 and cell2 use same PCI, the UEs may observe the change of the NCGI during the migration. In case cell1 and cell2 use different PCI, it is further unclear how to perform the signal switch from cell1 using PCI/NCGI related to CU1 to cell2 using PCI/NCGI related to CU2, again, without major impact to the UEs that are handover from cell1 to cell2.</w:t>
                            </w:r>
                          </w:p>
                          <w:p w14:paraId="7AB29AAC" w14:textId="77777777" w:rsidR="00AC421A" w:rsidRPr="00685C3F" w:rsidRDefault="00AC421A" w:rsidP="0063679E">
                            <w:pPr>
                              <w:pStyle w:val="afd"/>
                              <w:snapToGrid w:val="0"/>
                              <w:spacing w:after="0" w:afterAutospacing="0"/>
                              <w:rPr>
                                <w:rFonts w:ascii="Arial" w:eastAsia="等线" w:hAnsi="Arial" w:cs="Arial"/>
                                <w:sz w:val="20"/>
                                <w:szCs w:val="20"/>
                                <w:lang w:val="en-GB"/>
                              </w:rPr>
                            </w:pPr>
                            <w:r w:rsidRPr="00685C3F">
                              <w:rPr>
                                <w:rFonts w:ascii="Arial" w:eastAsia="等线" w:hAnsi="Arial" w:cs="Arial"/>
                                <w:sz w:val="20"/>
                                <w:szCs w:val="20"/>
                                <w:lang w:val="en-GB"/>
                              </w:rPr>
                              <w:t xml:space="preserve">RAN3 would like to ask RAN1, RAN2, and RAN4 to provide feedback, e.g, </w:t>
                            </w:r>
                            <w:r w:rsidRPr="00685C3F">
                              <w:rPr>
                                <w:rFonts w:ascii="Arial" w:eastAsia="等线" w:hAnsi="Arial" w:cs="Arial"/>
                                <w:b/>
                                <w:sz w:val="20"/>
                                <w:szCs w:val="20"/>
                                <w:lang w:val="en-GB"/>
                              </w:rPr>
                              <w:t xml:space="preserve">any technical issue for the above Alt1 and Alt2? </w:t>
                            </w:r>
                            <w:r w:rsidRPr="00685C3F">
                              <w:rPr>
                                <w:rFonts w:ascii="Arial" w:eastAsia="等线" w:hAnsi="Arial" w:cs="Arial"/>
                                <w:sz w:val="20"/>
                                <w:szCs w:val="20"/>
                                <w:lang w:val="en-GB"/>
                              </w:rPr>
                              <w:t xml:space="preserve"> </w:t>
                            </w:r>
                          </w:p>
                        </w:txbxContent>
                      </wps:txbx>
                      <wps:bodyPr rot="0" vert="horz" wrap="square" lIns="91440" tIns="45720" rIns="91440" bIns="45720" anchor="t" anchorCtr="0">
                        <a:spAutoFit/>
                      </wps:bodyPr>
                    </wps:wsp>
                  </a:graphicData>
                </a:graphic>
              </wp:inline>
            </w:drawing>
          </mc:Choice>
          <mc:Fallback>
            <w:pict>
              <v:shapetype w14:anchorId="4A8EC0BD" id="_x0000_t202" coordsize="21600,21600" o:spt="202" path="m,l,21600r21600,l21600,xe">
                <v:stroke joinstyle="miter"/>
                <v:path gradientshapeok="t" o:connecttype="rect"/>
              </v:shapetype>
              <v:shape id="文本框 2" o:spid="_x0000_s1026" type="#_x0000_t202" style="width:484.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">
                <v:textbox style="mso-fit-shape-to-text:t">
                  <w:txbxContent>
                    <w:p w14:paraId="52A9A16A" w14:textId="77777777" w:rsidR="00AC421A" w:rsidRPr="00685C3F" w:rsidRDefault="00AC421A" w:rsidP="00900C9A">
                      <w:pPr>
                        <w:widowControl w:val="0"/>
                        <w:rPr>
                          <w:rFonts w:cs="Arial"/>
                        </w:rPr>
                      </w:pPr>
                      <w:r w:rsidRPr="00685C3F">
                        <w:rPr>
                          <w:rFonts w:cs="Arial" w:hint="eastAsia"/>
                        </w:rPr>
                        <w:t>F</w:t>
                      </w:r>
                      <w:r w:rsidRPr="00685C3F">
                        <w:rPr>
                          <w:rFonts w:cs="Arial"/>
                        </w:rPr>
                        <w:t xml:space="preserve">or </w:t>
                      </w:r>
                      <w:r w:rsidRPr="00685C3F">
                        <w:rPr>
                          <w:rFonts w:cs="Arial"/>
                          <w:b/>
                        </w:rPr>
                        <w:t>Alt1</w:t>
                      </w:r>
                      <w:r w:rsidRPr="00685C3F">
                        <w:rPr>
                          <w:rFonts w:cs="Arial"/>
                        </w:rPr>
                        <w:t xml:space="preserve">, RAN3 understands that the UEs can be smoothly handed over from a cell of one logical DU to a cell of the other logical DU via the legacy handover procedure. During the handover procedure, both cells from each logical DU should be active, since some UEs are already handed over to the target cell, while other UEs have not started the handover yet. However, it may be argued that the use of separate resources is less efficient. </w:t>
                      </w:r>
                    </w:p>
                    <w:p w14:paraId="50A23AB2" w14:textId="77777777" w:rsidR="00AC421A" w:rsidRPr="00685C3F" w:rsidRDefault="00AC421A" w:rsidP="00900C9A">
                      <w:pPr>
                        <w:pStyle w:val="afd"/>
                        <w:snapToGrid w:val="0"/>
                        <w:spacing w:after="0" w:afterAutospacing="0"/>
                        <w:rPr>
                          <w:rFonts w:ascii="Arial" w:eastAsia="等线" w:hAnsi="Arial" w:cs="Arial"/>
                          <w:sz w:val="20"/>
                          <w:szCs w:val="20"/>
                          <w:lang w:val="en-GB"/>
                        </w:rPr>
                      </w:pPr>
                      <w:r w:rsidRPr="00685C3F">
                        <w:rPr>
                          <w:rFonts w:ascii="Arial" w:eastAsia="等线" w:hAnsi="Arial" w:cs="Arial"/>
                          <w:sz w:val="20"/>
                          <w:szCs w:val="20"/>
                          <w:lang w:val="en-GB"/>
                        </w:rPr>
                        <w:t xml:space="preserve">For </w:t>
                      </w:r>
                      <w:r w:rsidRPr="00685C3F">
                        <w:rPr>
                          <w:rFonts w:ascii="Arial" w:eastAsia="等线" w:hAnsi="Arial" w:cs="Arial"/>
                          <w:b/>
                          <w:sz w:val="20"/>
                          <w:szCs w:val="20"/>
                          <w:lang w:val="en-GB"/>
                        </w:rPr>
                        <w:t>Alt2</w:t>
                      </w:r>
                      <w:r w:rsidRPr="00685C3F">
                        <w:rPr>
                          <w:rFonts w:ascii="Arial" w:eastAsia="等线" w:hAnsi="Arial" w:cs="Arial"/>
                          <w:sz w:val="20"/>
                          <w:szCs w:val="20"/>
                          <w:lang w:val="en-GB"/>
                        </w:rPr>
                        <w:t>, the serving cell (e.g. cell1) of DU1 controlled by CU1 must broadcast NCGI related to CU1, while the serving cell (e.g. cell2) of DU2 controlled by CU2 must broadcast NCGI related to CU2. Since the air interface resources are shared between the 2 DUs/cells, only the signals from one cell (either cell1 using NCGI related to CU1, or cell2 using NCGI related to CU2) are active over the air interface at a time. It is therefore unclear about the impact to the UEs during the migration. For example, in case both cell1 and cell2 use same PCI, the UEs may observe the change of the NCGI during the migration. In case cell1 and cell2 use different PCI, it is further unclear how to perform the signal switch from cell1 using PCI/NCGI related to CU1 to cell2 using PCI/NCGI related to CU2, again, without major impact to the UEs that are handover from cell1 to cell2.</w:t>
                      </w:r>
                    </w:p>
                    <w:p w14:paraId="7AB29AAC" w14:textId="77777777" w:rsidR="00AC421A" w:rsidRPr="00685C3F" w:rsidRDefault="00AC421A" w:rsidP="0063679E">
                      <w:pPr>
                        <w:pStyle w:val="afd"/>
                        <w:snapToGrid w:val="0"/>
                        <w:spacing w:after="0" w:afterAutospacing="0"/>
                        <w:rPr>
                          <w:rFonts w:ascii="Arial" w:eastAsia="等线" w:hAnsi="Arial" w:cs="Arial"/>
                          <w:sz w:val="20"/>
                          <w:szCs w:val="20"/>
                          <w:lang w:val="en-GB"/>
                        </w:rPr>
                      </w:pPr>
                      <w:r w:rsidRPr="00685C3F">
                        <w:rPr>
                          <w:rFonts w:ascii="Arial" w:eastAsia="等线" w:hAnsi="Arial" w:cs="Arial"/>
                          <w:sz w:val="20"/>
                          <w:szCs w:val="20"/>
                          <w:lang w:val="en-GB"/>
                        </w:rPr>
                        <w:t xml:space="preserve">RAN3 would like to ask RAN1, RAN2, and RAN4 to provide feedback, e.g, </w:t>
                      </w:r>
                      <w:r w:rsidRPr="00685C3F">
                        <w:rPr>
                          <w:rFonts w:ascii="Arial" w:eastAsia="等线" w:hAnsi="Arial" w:cs="Arial"/>
                          <w:b/>
                          <w:sz w:val="20"/>
                          <w:szCs w:val="20"/>
                          <w:lang w:val="en-GB"/>
                        </w:rPr>
                        <w:t xml:space="preserve">any technical issue for the above Alt1 and Alt2? </w:t>
                      </w:r>
                      <w:r w:rsidRPr="00685C3F">
                        <w:rPr>
                          <w:rFonts w:ascii="Arial" w:eastAsia="等线" w:hAnsi="Arial" w:cs="Arial"/>
                          <w:sz w:val="20"/>
                          <w:szCs w:val="20"/>
                          <w:lang w:val="en-GB"/>
                        </w:rPr>
                        <w:t xml:space="preserve"> </w:t>
                      </w:r>
                    </w:p>
                  </w:txbxContent>
                </v:textbox>
                <w10:anchorlock/>
              </v:shape>
            </w:pict>
          </mc:Fallback>
        </mc:AlternateContent>
      </w:r>
    </w:p>
    <w:p w14:paraId="2226760F" w14:textId="77777777" w:rsidR="001A2D83" w:rsidRPr="001A2D83" w:rsidRDefault="004C6BAA" w:rsidP="001A2D83">
      <w:pPr>
        <w:pStyle w:val="30"/>
        <w:numPr>
          <w:ilvl w:val="2"/>
          <w:numId w:val="1"/>
        </w:numPr>
        <w:rPr>
          <w:rFonts w:cs="Arial"/>
          <w:sz w:val="24"/>
        </w:rPr>
      </w:pPr>
      <w:bookmarkStart w:id="4" w:name="OLE_LINK35"/>
      <w:bookmarkStart w:id="5" w:name="OLE_LINK36"/>
      <w:bookmarkStart w:id="6" w:name="OLE_LINK33"/>
      <w:bookmarkStart w:id="7" w:name="OLE_LINK34"/>
      <w:r>
        <w:rPr>
          <w:rFonts w:cs="Arial"/>
          <w:sz w:val="24"/>
        </w:rPr>
        <w:t>Technical issues</w:t>
      </w:r>
      <w:bookmarkEnd w:id="4"/>
      <w:bookmarkEnd w:id="5"/>
      <w:r>
        <w:rPr>
          <w:rFonts w:cs="Arial"/>
          <w:sz w:val="24"/>
        </w:rPr>
        <w:t xml:space="preserve"> </w:t>
      </w:r>
      <w:r w:rsidR="001A2D83" w:rsidRPr="001A2D83">
        <w:rPr>
          <w:rFonts w:cs="Arial"/>
          <w:sz w:val="24"/>
        </w:rPr>
        <w:t>for Alt 1</w:t>
      </w:r>
    </w:p>
    <w:bookmarkEnd w:id="6"/>
    <w:bookmarkEnd w:id="7"/>
    <w:p w14:paraId="388BD1E6" w14:textId="77777777" w:rsidR="0036760D" w:rsidRDefault="0063679E" w:rsidP="0054576C">
      <w:pPr>
        <w:spacing w:after="180"/>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irst, about the alternative 1, we see some issues to be </w:t>
      </w:r>
      <w:r w:rsidR="008B14A7">
        <w:rPr>
          <w:rFonts w:ascii="Times New Roman" w:hAnsi="Times New Roman"/>
          <w:lang w:val="en-GB"/>
        </w:rPr>
        <w:t xml:space="preserve">further </w:t>
      </w:r>
      <w:r>
        <w:rPr>
          <w:rFonts w:ascii="Times New Roman" w:hAnsi="Times New Roman"/>
          <w:lang w:val="en-GB"/>
        </w:rPr>
        <w:t>clarified</w:t>
      </w:r>
      <w:r w:rsidR="008B14A7">
        <w:rPr>
          <w:rFonts w:ascii="Times New Roman" w:hAnsi="Times New Roman"/>
          <w:lang w:val="en-GB"/>
        </w:rPr>
        <w:t xml:space="preserve"> first</w:t>
      </w:r>
      <w:r>
        <w:rPr>
          <w:rFonts w:ascii="Times New Roman" w:hAnsi="Times New Roman"/>
          <w:lang w:val="en-GB"/>
        </w:rPr>
        <w:t>:</w:t>
      </w:r>
    </w:p>
    <w:p w14:paraId="67004416" w14:textId="35B7FACB" w:rsidR="00941A95" w:rsidRPr="00941A95" w:rsidRDefault="005947AF" w:rsidP="00805148">
      <w:pPr>
        <w:pStyle w:val="af8"/>
        <w:numPr>
          <w:ilvl w:val="0"/>
          <w:numId w:val="20"/>
        </w:numPr>
        <w:spacing w:after="180"/>
        <w:rPr>
          <w:rFonts w:ascii="Times New Roman" w:hAnsi="Times New Roman"/>
          <w:lang w:val="en-GB"/>
        </w:rPr>
      </w:pPr>
      <w:r w:rsidRPr="00941A95">
        <w:rPr>
          <w:rFonts w:ascii="Times New Roman" w:hAnsi="Times New Roman"/>
          <w:b/>
          <w:sz w:val="20"/>
          <w:lang w:val="en-GB" w:eastAsia="zh-CN"/>
        </w:rPr>
        <w:t xml:space="preserve">Whether the two physical cells managed by two logical DUs are </w:t>
      </w:r>
      <w:r w:rsidR="00EA1BDA">
        <w:rPr>
          <w:rFonts w:ascii="Times New Roman" w:hAnsi="Times New Roman"/>
          <w:b/>
          <w:sz w:val="20"/>
          <w:lang w:val="en-GB" w:eastAsia="zh-CN"/>
        </w:rPr>
        <w:t>on different carriers</w:t>
      </w:r>
      <w:r w:rsidRPr="00941A95">
        <w:rPr>
          <w:rFonts w:ascii="Times New Roman" w:hAnsi="Times New Roman"/>
          <w:sz w:val="20"/>
          <w:lang w:val="en-GB" w:eastAsia="zh-CN"/>
        </w:rPr>
        <w:t xml:space="preserve">? </w:t>
      </w:r>
    </w:p>
    <w:p w14:paraId="1040F08A" w14:textId="6E1D0B4B" w:rsidR="0063679E" w:rsidRPr="00D42599" w:rsidRDefault="00941A95" w:rsidP="00805148">
      <w:pPr>
        <w:pStyle w:val="af8"/>
        <w:numPr>
          <w:ilvl w:val="0"/>
          <w:numId w:val="20"/>
        </w:numPr>
        <w:spacing w:after="180"/>
        <w:rPr>
          <w:rFonts w:ascii="Times New Roman" w:hAnsi="Times New Roman"/>
          <w:lang w:val="en-GB"/>
        </w:rPr>
      </w:pPr>
      <w:r w:rsidRPr="0070737D">
        <w:rPr>
          <w:rFonts w:ascii="Times New Roman" w:hAnsi="Times New Roman"/>
          <w:b/>
          <w:sz w:val="20"/>
          <w:lang w:val="en-GB" w:eastAsia="zh-CN"/>
        </w:rPr>
        <w:t>Whether the two logical DUs share one MT,</w:t>
      </w:r>
      <w:r w:rsidR="00CD65C4" w:rsidRPr="0070737D">
        <w:rPr>
          <w:rFonts w:ascii="Times New Roman" w:hAnsi="Times New Roman"/>
          <w:b/>
          <w:sz w:val="20"/>
          <w:lang w:val="en-GB" w:eastAsia="zh-CN"/>
        </w:rPr>
        <w:t xml:space="preserve"> when</w:t>
      </w:r>
      <w:r w:rsidRPr="0070737D">
        <w:rPr>
          <w:rFonts w:ascii="Times New Roman" w:hAnsi="Times New Roman"/>
          <w:b/>
          <w:sz w:val="20"/>
          <w:lang w:val="en-GB" w:eastAsia="zh-CN"/>
        </w:rPr>
        <w:t xml:space="preserve"> the two physical cells managed by two logical DUs </w:t>
      </w:r>
      <w:r w:rsidR="00CD65C4" w:rsidRPr="0070737D">
        <w:rPr>
          <w:rFonts w:ascii="Times New Roman" w:hAnsi="Times New Roman"/>
          <w:b/>
          <w:sz w:val="20"/>
          <w:lang w:val="en-GB" w:eastAsia="zh-CN"/>
        </w:rPr>
        <w:t xml:space="preserve">are activated simultaneously </w:t>
      </w:r>
      <w:r w:rsidR="00AC421A">
        <w:rPr>
          <w:rFonts w:ascii="Times New Roman" w:hAnsi="Times New Roman"/>
          <w:b/>
          <w:sz w:val="20"/>
          <w:lang w:val="en-GB" w:eastAsia="zh-CN"/>
        </w:rPr>
        <w:t>for a</w:t>
      </w:r>
      <w:r w:rsidR="00CD65C4" w:rsidRPr="0070737D">
        <w:rPr>
          <w:rFonts w:ascii="Times New Roman" w:hAnsi="Times New Roman"/>
          <w:b/>
          <w:sz w:val="20"/>
          <w:lang w:val="en-GB" w:eastAsia="zh-CN"/>
        </w:rPr>
        <w:t xml:space="preserve"> period of time</w:t>
      </w:r>
      <w:r w:rsidR="00CD65C4">
        <w:rPr>
          <w:rFonts w:ascii="Times New Roman" w:hAnsi="Times New Roman"/>
          <w:sz w:val="20"/>
          <w:lang w:val="en-GB" w:eastAsia="zh-CN"/>
        </w:rPr>
        <w:t xml:space="preserve"> (e.g. the period for child IAB-nodes and UEs to perform Handover</w:t>
      </w:r>
      <w:r w:rsidR="00502CB7">
        <w:rPr>
          <w:rFonts w:ascii="Times New Roman" w:hAnsi="Times New Roman"/>
          <w:sz w:val="20"/>
          <w:lang w:val="en-GB" w:eastAsia="zh-CN"/>
        </w:rPr>
        <w:t xml:space="preserve"> from one logical DU to another logical DU</w:t>
      </w:r>
      <w:r w:rsidR="00CD65C4">
        <w:rPr>
          <w:rFonts w:ascii="Times New Roman" w:hAnsi="Times New Roman"/>
          <w:sz w:val="20"/>
          <w:lang w:val="en-GB" w:eastAsia="zh-CN"/>
        </w:rPr>
        <w:t>)</w:t>
      </w:r>
      <w:r>
        <w:rPr>
          <w:rFonts w:ascii="Times New Roman" w:hAnsi="Times New Roman"/>
          <w:sz w:val="20"/>
          <w:lang w:val="en-GB" w:eastAsia="zh-CN"/>
        </w:rPr>
        <w:t xml:space="preserve"> </w:t>
      </w:r>
      <w:r w:rsidR="00D42599">
        <w:rPr>
          <w:rFonts w:ascii="Times New Roman" w:hAnsi="Times New Roman"/>
          <w:sz w:val="20"/>
          <w:lang w:val="en-GB" w:eastAsia="zh-CN"/>
        </w:rPr>
        <w:t>?</w:t>
      </w:r>
      <w:r w:rsidR="00E95917">
        <w:rPr>
          <w:rFonts w:ascii="Times New Roman" w:hAnsi="Times New Roman"/>
          <w:sz w:val="20"/>
          <w:lang w:val="en-GB" w:eastAsia="zh-CN"/>
        </w:rPr>
        <w:t xml:space="preserve"> </w:t>
      </w:r>
    </w:p>
    <w:p w14:paraId="6BEAD6B0" w14:textId="2EFCFC81" w:rsidR="003A338D" w:rsidRPr="003A338D" w:rsidRDefault="00D42599" w:rsidP="003A338D">
      <w:pPr>
        <w:spacing w:after="180"/>
        <w:rPr>
          <w:rFonts w:ascii="Times New Roman" w:hAnsi="Times New Roman"/>
          <w:lang w:val="en-GB"/>
        </w:rPr>
      </w:pPr>
      <w:r>
        <w:rPr>
          <w:rFonts w:ascii="Times New Roman" w:hAnsi="Times New Roman"/>
          <w:lang w:val="en-GB"/>
        </w:rPr>
        <w:t>For the issue 1, i</w:t>
      </w:r>
      <w:r w:rsidRPr="00941A95">
        <w:rPr>
          <w:rFonts w:ascii="Times New Roman" w:hAnsi="Times New Roman"/>
          <w:lang w:val="en-GB"/>
        </w:rPr>
        <w:t xml:space="preserve">f the answer is </w:t>
      </w:r>
      <w:r>
        <w:rPr>
          <w:rFonts w:ascii="Times New Roman" w:hAnsi="Times New Roman"/>
          <w:lang w:val="en-GB"/>
        </w:rPr>
        <w:t xml:space="preserve">no, there may be some self-interference issues among the two logical DUs. If the answer is yes, there is no such technical issue, but as indicated in the LS, the resource allocated to the IAB-node </w:t>
      </w:r>
      <w:r w:rsidR="003A338D">
        <w:rPr>
          <w:rFonts w:ascii="Times New Roman" w:hAnsi="Times New Roman"/>
          <w:lang w:val="en-GB"/>
        </w:rPr>
        <w:t xml:space="preserve">may </w:t>
      </w:r>
      <w:r>
        <w:rPr>
          <w:rFonts w:ascii="Times New Roman" w:hAnsi="Times New Roman"/>
          <w:lang w:val="en-GB"/>
        </w:rPr>
        <w:t xml:space="preserve">be less efficient, </w:t>
      </w:r>
      <w:r w:rsidR="003A338D">
        <w:rPr>
          <w:rFonts w:ascii="Times New Roman" w:hAnsi="Times New Roman"/>
          <w:lang w:val="en-GB"/>
        </w:rPr>
        <w:t xml:space="preserve">if </w:t>
      </w:r>
      <w:r w:rsidR="00D763C9">
        <w:rPr>
          <w:rFonts w:ascii="Times New Roman" w:hAnsi="Times New Roman"/>
          <w:lang w:val="en-GB"/>
        </w:rPr>
        <w:t>the two logical DUs will not share same spectrum resource.</w:t>
      </w:r>
      <w:r w:rsidR="003A338D">
        <w:rPr>
          <w:rFonts w:ascii="Times New Roman" w:hAnsi="Times New Roman"/>
          <w:lang w:val="en-GB"/>
        </w:rPr>
        <w:t xml:space="preserve"> As </w:t>
      </w:r>
      <w:r w:rsidR="003A338D" w:rsidRPr="003A338D">
        <w:rPr>
          <w:rFonts w:ascii="Times New Roman" w:hAnsi="Times New Roman"/>
          <w:lang w:val="en-GB"/>
        </w:rPr>
        <w:t xml:space="preserve">an alternative to make it more efficient to use the resources of </w:t>
      </w:r>
      <w:r w:rsidR="003A338D">
        <w:rPr>
          <w:rFonts w:ascii="Times New Roman" w:hAnsi="Times New Roman"/>
          <w:lang w:val="en-GB"/>
        </w:rPr>
        <w:t>different</w:t>
      </w:r>
      <w:r w:rsidR="003A338D" w:rsidRPr="003A338D">
        <w:rPr>
          <w:rFonts w:ascii="Times New Roman" w:hAnsi="Times New Roman"/>
          <w:lang w:val="en-GB"/>
        </w:rPr>
        <w:t xml:space="preserve"> carrier</w:t>
      </w:r>
      <w:r w:rsidR="003A338D">
        <w:rPr>
          <w:rFonts w:ascii="Times New Roman" w:hAnsi="Times New Roman"/>
          <w:lang w:val="en-GB"/>
        </w:rPr>
        <w:t>s, one logical DU can configure the physical cell managed by another logical DU as SCells, e.g.</w:t>
      </w:r>
      <w:r w:rsidR="003A338D" w:rsidRPr="003A338D">
        <w:rPr>
          <w:rFonts w:ascii="Times New Roman" w:hAnsi="Times New Roman"/>
          <w:lang w:val="en-GB"/>
        </w:rPr>
        <w:t>:</w:t>
      </w:r>
    </w:p>
    <w:p w14:paraId="2B3B1380" w14:textId="60F830C0" w:rsidR="003A338D" w:rsidRPr="003A338D" w:rsidRDefault="003A338D" w:rsidP="003A338D">
      <w:pPr>
        <w:spacing w:after="180"/>
        <w:rPr>
          <w:rFonts w:ascii="Times New Roman" w:hAnsi="Times New Roman"/>
          <w:lang w:val="en-GB"/>
        </w:rPr>
      </w:pPr>
      <w:r w:rsidRPr="003A338D">
        <w:rPr>
          <w:rFonts w:ascii="Times New Roman" w:hAnsi="Times New Roman"/>
          <w:lang w:val="en-GB"/>
        </w:rPr>
        <w:t>IAB-DU1: Carrier#1 as P</w:t>
      </w:r>
      <w:r>
        <w:rPr>
          <w:rFonts w:ascii="Times New Roman" w:hAnsi="Times New Roman"/>
          <w:lang w:val="en-GB"/>
        </w:rPr>
        <w:t>C</w:t>
      </w:r>
      <w:r w:rsidRPr="003A338D">
        <w:rPr>
          <w:rFonts w:ascii="Times New Roman" w:hAnsi="Times New Roman"/>
          <w:lang w:val="en-GB"/>
        </w:rPr>
        <w:t>ell, Carrier#2 as S</w:t>
      </w:r>
      <w:r>
        <w:rPr>
          <w:rFonts w:ascii="Times New Roman" w:hAnsi="Times New Roman"/>
          <w:lang w:val="en-GB"/>
        </w:rPr>
        <w:t>C</w:t>
      </w:r>
      <w:r w:rsidRPr="003A338D">
        <w:rPr>
          <w:rFonts w:ascii="Times New Roman" w:hAnsi="Times New Roman"/>
          <w:lang w:val="en-GB"/>
        </w:rPr>
        <w:t>ell;</w:t>
      </w:r>
    </w:p>
    <w:p w14:paraId="1467EF31" w14:textId="206F6FE8" w:rsidR="003A338D" w:rsidRPr="003A338D" w:rsidRDefault="003A338D" w:rsidP="003A338D">
      <w:pPr>
        <w:spacing w:after="180"/>
        <w:rPr>
          <w:rFonts w:ascii="Times New Roman" w:hAnsi="Times New Roman"/>
          <w:lang w:val="en-GB"/>
        </w:rPr>
      </w:pPr>
      <w:r>
        <w:rPr>
          <w:rFonts w:ascii="Times New Roman" w:hAnsi="Times New Roman"/>
          <w:lang w:val="en-GB"/>
        </w:rPr>
        <w:t>IAB-DU2: Carrier#2 as PCell, Carrier#1 as SC</w:t>
      </w:r>
      <w:r w:rsidRPr="003A338D">
        <w:rPr>
          <w:rFonts w:ascii="Times New Roman" w:hAnsi="Times New Roman"/>
          <w:lang w:val="en-GB"/>
        </w:rPr>
        <w:t>ell,</w:t>
      </w:r>
    </w:p>
    <w:p w14:paraId="26588ADE" w14:textId="5EF95140" w:rsidR="00D42599" w:rsidRDefault="003A338D" w:rsidP="003A338D">
      <w:pPr>
        <w:spacing w:after="180"/>
        <w:rPr>
          <w:rFonts w:ascii="Times New Roman" w:hAnsi="Times New Roman"/>
          <w:lang w:val="en-GB"/>
        </w:rPr>
      </w:pPr>
      <w:r w:rsidRPr="003A338D">
        <w:rPr>
          <w:rFonts w:ascii="Times New Roman" w:hAnsi="Times New Roman"/>
          <w:lang w:val="en-GB"/>
        </w:rPr>
        <w:t xml:space="preserve">So that both IAB-DUs can use </w:t>
      </w:r>
      <w:r>
        <w:rPr>
          <w:rFonts w:ascii="Times New Roman" w:hAnsi="Times New Roman"/>
          <w:lang w:val="en-GB"/>
        </w:rPr>
        <w:t xml:space="preserve">resources of </w:t>
      </w:r>
      <w:r w:rsidRPr="003A338D">
        <w:rPr>
          <w:rFonts w:ascii="Times New Roman" w:hAnsi="Times New Roman"/>
          <w:lang w:val="en-GB"/>
        </w:rPr>
        <w:t>both carriers.</w:t>
      </w:r>
      <w:r>
        <w:rPr>
          <w:rFonts w:ascii="Times New Roman" w:hAnsi="Times New Roman"/>
          <w:lang w:val="en-GB"/>
        </w:rPr>
        <w:t xml:space="preserve"> </w:t>
      </w:r>
      <w:r w:rsidRPr="003A338D">
        <w:rPr>
          <w:rFonts w:ascii="Times New Roman" w:hAnsi="Times New Roman"/>
          <w:lang w:val="en-GB"/>
        </w:rPr>
        <w:t>When IAB-DU2 is activated by using Carrier#2 as PCell, IAB-DU1 should stop using Carrier#2 as S</w:t>
      </w:r>
      <w:r>
        <w:rPr>
          <w:rFonts w:ascii="Times New Roman" w:hAnsi="Times New Roman"/>
          <w:lang w:val="en-GB"/>
        </w:rPr>
        <w:t>C</w:t>
      </w:r>
      <w:r w:rsidRPr="003A338D">
        <w:rPr>
          <w:rFonts w:ascii="Times New Roman" w:hAnsi="Times New Roman"/>
          <w:lang w:val="en-GB"/>
        </w:rPr>
        <w:t xml:space="preserve">ell, as the configuration </w:t>
      </w:r>
      <w:r>
        <w:rPr>
          <w:rFonts w:ascii="Times New Roman" w:hAnsi="Times New Roman"/>
          <w:lang w:val="en-GB"/>
        </w:rPr>
        <w:t xml:space="preserve">of carrier#2 </w:t>
      </w:r>
      <w:r w:rsidRPr="003A338D">
        <w:rPr>
          <w:rFonts w:ascii="Times New Roman" w:hAnsi="Times New Roman"/>
          <w:lang w:val="en-GB"/>
        </w:rPr>
        <w:t>may have changed</w:t>
      </w:r>
      <w:r>
        <w:rPr>
          <w:rFonts w:ascii="Times New Roman" w:hAnsi="Times New Roman"/>
          <w:lang w:val="en-GB"/>
        </w:rPr>
        <w:t xml:space="preserve"> by CU.</w:t>
      </w:r>
    </w:p>
    <w:p w14:paraId="2AA5F017" w14:textId="157086C4" w:rsidR="00BA66D0" w:rsidRDefault="00BA66D0" w:rsidP="00D42599">
      <w:pPr>
        <w:spacing w:after="180"/>
        <w:rPr>
          <w:rFonts w:ascii="Times New Roman" w:hAnsi="Times New Roman"/>
          <w:lang w:val="en-GB"/>
        </w:rPr>
      </w:pPr>
      <w:r>
        <w:rPr>
          <w:rFonts w:ascii="Times New Roman" w:hAnsi="Times New Roman"/>
          <w:lang w:val="en-GB"/>
        </w:rPr>
        <w:t xml:space="preserve">For the issue 2, if the answer is no, then this is just two IAB nodes (two sets of IAB-MT and IAB-DU) implemented in one box. But, if the answer is yes, RAN2 should discuss the specification impact on the </w:t>
      </w:r>
      <w:r w:rsidR="00C43F60">
        <w:rPr>
          <w:rFonts w:ascii="Times New Roman" w:hAnsi="Times New Roman"/>
          <w:lang w:val="en-GB"/>
        </w:rPr>
        <w:t>one IAB-MT coupled with two IAB-DUs</w:t>
      </w:r>
    </w:p>
    <w:p w14:paraId="2DD42AFC" w14:textId="77777777" w:rsidR="00165ADD" w:rsidRDefault="00165ADD" w:rsidP="00D42599">
      <w:pPr>
        <w:spacing w:after="180"/>
        <w:rPr>
          <w:rFonts w:ascii="Times New Roman" w:hAnsi="Times New Roman"/>
          <w:lang w:val="en-GB"/>
        </w:rPr>
      </w:pPr>
      <w:r>
        <w:rPr>
          <w:rFonts w:ascii="Times New Roman" w:hAnsi="Times New Roman"/>
          <w:lang w:val="en-GB"/>
        </w:rPr>
        <w:t>F</w:t>
      </w:r>
      <w:r w:rsidR="00D763C9">
        <w:rPr>
          <w:rFonts w:ascii="Times New Roman" w:hAnsi="Times New Roman"/>
          <w:lang w:val="en-GB"/>
        </w:rPr>
        <w:t>rom the figure 1</w:t>
      </w:r>
      <w:r w:rsidR="00E30355">
        <w:rPr>
          <w:rFonts w:ascii="Times New Roman" w:hAnsi="Times New Roman"/>
          <w:lang w:val="en-GB"/>
        </w:rPr>
        <w:t xml:space="preserve"> in [1],</w:t>
      </w:r>
      <w:r w:rsidR="00E95917" w:rsidRPr="00E95917">
        <w:rPr>
          <w:rFonts w:ascii="Times New Roman" w:hAnsi="Times New Roman"/>
          <w:lang w:val="en-GB"/>
        </w:rPr>
        <w:t xml:space="preserve"> </w:t>
      </w:r>
      <w:r w:rsidR="00E30355">
        <w:rPr>
          <w:rFonts w:ascii="Times New Roman" w:hAnsi="Times New Roman"/>
          <w:lang w:val="en-GB"/>
        </w:rPr>
        <w:t>the two logical IAB-DUs will share one collocated IAB-MT</w:t>
      </w:r>
      <w:r>
        <w:rPr>
          <w:rFonts w:ascii="Times New Roman" w:hAnsi="Times New Roman"/>
          <w:lang w:val="en-GB"/>
        </w:rPr>
        <w:t xml:space="preserve"> for both Alt 1 and Alt 2</w:t>
      </w:r>
      <w:r w:rsidR="00A2381C">
        <w:rPr>
          <w:rFonts w:ascii="Times New Roman" w:hAnsi="Times New Roman"/>
          <w:lang w:val="en-GB"/>
        </w:rPr>
        <w:t>.</w:t>
      </w:r>
      <w:r w:rsidR="00E30355">
        <w:rPr>
          <w:rFonts w:ascii="Times New Roman" w:hAnsi="Times New Roman"/>
          <w:lang w:val="en-GB"/>
        </w:rPr>
        <w:t xml:space="preserve"> </w:t>
      </w:r>
      <w:r>
        <w:rPr>
          <w:rFonts w:ascii="Times New Roman" w:hAnsi="Times New Roman"/>
          <w:lang w:val="en-GB"/>
        </w:rPr>
        <w:t>Therefore, there are so</w:t>
      </w:r>
      <w:r w:rsidR="008B14A7">
        <w:rPr>
          <w:rFonts w:ascii="Times New Roman" w:hAnsi="Times New Roman"/>
          <w:lang w:val="en-GB"/>
        </w:rPr>
        <w:t xml:space="preserve">me further technical </w:t>
      </w:r>
      <w:r w:rsidR="0025663F">
        <w:rPr>
          <w:rFonts w:ascii="Times New Roman" w:hAnsi="Times New Roman"/>
          <w:lang w:val="en-GB"/>
        </w:rPr>
        <w:t>issue</w:t>
      </w:r>
      <w:r w:rsidR="008B14A7">
        <w:rPr>
          <w:rFonts w:ascii="Times New Roman" w:hAnsi="Times New Roman"/>
          <w:lang w:val="en-GB"/>
        </w:rPr>
        <w:t xml:space="preserve">s </w:t>
      </w:r>
      <w:r w:rsidR="008E5555">
        <w:rPr>
          <w:rFonts w:ascii="Times New Roman" w:hAnsi="Times New Roman"/>
          <w:lang w:val="en-GB"/>
        </w:rPr>
        <w:t xml:space="preserve">about the BAP modelling </w:t>
      </w:r>
      <w:r>
        <w:rPr>
          <w:rFonts w:ascii="Times New Roman" w:hAnsi="Times New Roman"/>
          <w:lang w:val="en-GB"/>
        </w:rPr>
        <w:t xml:space="preserve">for both alternatives </w:t>
      </w:r>
      <w:r w:rsidR="008E5555">
        <w:rPr>
          <w:rFonts w:ascii="Times New Roman" w:hAnsi="Times New Roman"/>
          <w:lang w:val="en-GB"/>
        </w:rPr>
        <w:t>from RAN2 perspective</w:t>
      </w:r>
      <w:r>
        <w:rPr>
          <w:rFonts w:ascii="Times New Roman" w:hAnsi="Times New Roman"/>
          <w:lang w:val="en-GB"/>
        </w:rPr>
        <w:t>:</w:t>
      </w:r>
    </w:p>
    <w:p w14:paraId="18EEB9B7" w14:textId="33656C75" w:rsidR="00C43F60" w:rsidRDefault="00165ADD" w:rsidP="00165ADD">
      <w:pPr>
        <w:rPr>
          <w:rFonts w:ascii="Times New Roman" w:hAnsi="Times New Roman"/>
          <w:lang w:val="en-GB"/>
        </w:rPr>
      </w:pPr>
      <w:r w:rsidRPr="00165ADD">
        <w:rPr>
          <w:rFonts w:ascii="Times New Roman" w:hAnsi="Times New Roman"/>
          <w:b/>
          <w:u w:val="single"/>
          <w:lang w:val="en-GB"/>
        </w:rPr>
        <w:t xml:space="preserve">Technical </w:t>
      </w:r>
      <w:r w:rsidR="0025663F">
        <w:rPr>
          <w:rFonts w:ascii="Times New Roman" w:hAnsi="Times New Roman"/>
          <w:b/>
          <w:u w:val="single"/>
          <w:lang w:val="en-GB"/>
        </w:rPr>
        <w:t>issue</w:t>
      </w:r>
      <w:r w:rsidRPr="00DD3133">
        <w:rPr>
          <w:rFonts w:ascii="Times New Roman" w:hAnsi="Times New Roman"/>
          <w:b/>
          <w:u w:val="single"/>
          <w:lang w:val="en-GB"/>
        </w:rPr>
        <w:t xml:space="preserve"> 1. How should the BAP layer at boundary IAB-MT apply the F1AP configurations received from two CU</w:t>
      </w:r>
      <w:r w:rsidR="00F67913">
        <w:rPr>
          <w:rFonts w:ascii="Times New Roman" w:hAnsi="Times New Roman"/>
          <w:b/>
          <w:u w:val="single"/>
          <w:lang w:val="en-GB"/>
        </w:rPr>
        <w:t>s</w:t>
      </w:r>
      <w:r w:rsidRPr="00DD3133">
        <w:rPr>
          <w:rFonts w:ascii="Times New Roman" w:hAnsi="Times New Roman"/>
          <w:b/>
          <w:u w:val="single"/>
          <w:lang w:val="en-GB"/>
        </w:rPr>
        <w:t xml:space="preserve"> via two logical DUs</w:t>
      </w:r>
      <w:r w:rsidRPr="00DD3133">
        <w:rPr>
          <w:rFonts w:ascii="Times New Roman" w:hAnsi="Times New Roman"/>
          <w:u w:val="single"/>
          <w:lang w:val="en-GB"/>
        </w:rPr>
        <w:t>?</w:t>
      </w:r>
      <w:r w:rsidRPr="004E12E2">
        <w:rPr>
          <w:rFonts w:ascii="Times New Roman" w:hAnsi="Times New Roman"/>
          <w:lang w:val="en-GB"/>
        </w:rPr>
        <w:t xml:space="preserve"> </w:t>
      </w:r>
    </w:p>
    <w:p w14:paraId="3F81D233" w14:textId="195750EA" w:rsidR="00165ADD" w:rsidRPr="004E12E2" w:rsidRDefault="00165ADD" w:rsidP="00165ADD">
      <w:pPr>
        <w:rPr>
          <w:rFonts w:ascii="Times New Roman" w:hAnsi="Times New Roman"/>
          <w:lang w:val="en-GB"/>
        </w:rPr>
      </w:pPr>
      <w:r w:rsidRPr="004E12E2">
        <w:rPr>
          <w:rFonts w:ascii="Times New Roman" w:hAnsi="Times New Roman"/>
          <w:lang w:val="en-GB"/>
        </w:rPr>
        <w:t xml:space="preserve">The two logical DUs in a same IAB node will establish F1 interface to corresponding donor CUs separately, and the two F1 connections </w:t>
      </w:r>
      <w:r w:rsidRPr="004E12E2">
        <w:rPr>
          <w:rFonts w:ascii="Times New Roman" w:hAnsi="Times New Roman"/>
        </w:rPr>
        <w:t>need to be maintained at the same time over a period of time.</w:t>
      </w:r>
      <w:r w:rsidRPr="004E12E2">
        <w:rPr>
          <w:rFonts w:ascii="Times New Roman" w:hAnsi="Times New Roman"/>
          <w:lang w:val="en-GB"/>
        </w:rPr>
        <w:t xml:space="preserve"> The two logical DUs can obtain BAP configurations (e.g. routing configuration, BH RLC CH mapping configurations) separately via F1AP messages from two CUs. Since the BAP layer in IAB-MT part also need to apply the configurations provided by the F1AP messages since R16, it is unclear how the IAB-MT’s BAP layer should apply the two sets of the BAP related configurations received from two donor CUs via the two collocated logical DUs.</w:t>
      </w:r>
    </w:p>
    <w:p w14:paraId="45C7D3A9" w14:textId="5F17616F" w:rsidR="00C43F60" w:rsidRDefault="00165ADD" w:rsidP="00D42599">
      <w:pPr>
        <w:spacing w:after="180"/>
        <w:rPr>
          <w:lang w:val="en-GB"/>
        </w:rPr>
      </w:pPr>
      <w:r w:rsidRPr="00165ADD">
        <w:rPr>
          <w:rFonts w:ascii="Times New Roman" w:hAnsi="Times New Roman"/>
          <w:b/>
          <w:u w:val="single"/>
          <w:lang w:val="en-GB"/>
        </w:rPr>
        <w:t xml:space="preserve">Technical </w:t>
      </w:r>
      <w:r w:rsidR="0025663F">
        <w:rPr>
          <w:rFonts w:ascii="Times New Roman" w:hAnsi="Times New Roman"/>
          <w:b/>
          <w:u w:val="single"/>
          <w:lang w:val="en-GB"/>
        </w:rPr>
        <w:t>issue</w:t>
      </w:r>
      <w:r w:rsidRPr="00FA2A38">
        <w:rPr>
          <w:rFonts w:ascii="Times New Roman" w:hAnsi="Times New Roman"/>
          <w:b/>
          <w:u w:val="single"/>
          <w:lang w:val="en-GB"/>
        </w:rPr>
        <w:t xml:space="preserve"> 2: How should the BAP </w:t>
      </w:r>
      <w:r>
        <w:rPr>
          <w:rFonts w:ascii="Times New Roman" w:hAnsi="Times New Roman"/>
          <w:b/>
          <w:u w:val="single"/>
          <w:lang w:val="en-GB"/>
        </w:rPr>
        <w:t xml:space="preserve">entity </w:t>
      </w:r>
      <w:r w:rsidRPr="00FA2A38">
        <w:rPr>
          <w:rFonts w:ascii="Times New Roman" w:hAnsi="Times New Roman"/>
          <w:b/>
          <w:u w:val="single"/>
          <w:lang w:val="en-GB"/>
        </w:rPr>
        <w:t>at the boundary IAB-MT differentiate the DL traffic to source and target logical DU</w:t>
      </w:r>
      <w:r w:rsidR="00C43F60">
        <w:rPr>
          <w:rFonts w:ascii="Times New Roman" w:hAnsi="Times New Roman"/>
          <w:b/>
          <w:u w:val="single"/>
          <w:lang w:val="en-GB"/>
        </w:rPr>
        <w:t>s</w:t>
      </w:r>
      <w:r>
        <w:rPr>
          <w:rFonts w:ascii="Times New Roman" w:hAnsi="Times New Roman"/>
          <w:b/>
          <w:u w:val="single"/>
          <w:lang w:val="en-GB"/>
        </w:rPr>
        <w:t>?</w:t>
      </w:r>
      <w:r>
        <w:rPr>
          <w:lang w:val="en-GB"/>
        </w:rPr>
        <w:t xml:space="preserve"> </w:t>
      </w:r>
    </w:p>
    <w:p w14:paraId="7269C165" w14:textId="1E0FCC25" w:rsidR="00D42599" w:rsidRDefault="00165ADD" w:rsidP="00D42599">
      <w:pPr>
        <w:spacing w:after="180"/>
        <w:rPr>
          <w:rFonts w:ascii="Times New Roman" w:hAnsi="Times New Roman"/>
          <w:lang w:val="en-GB"/>
        </w:rPr>
      </w:pPr>
      <w:r>
        <w:rPr>
          <w:rFonts w:ascii="Times New Roman" w:hAnsi="Times New Roman"/>
          <w:lang w:val="en-GB"/>
        </w:rPr>
        <w:t xml:space="preserve">Since the two logical DUs can maintain their F1 interface to two different CUs simultaneously, if the boundary IAB-MT receives a DL BAP PDUs which contains the boundary IAB node’s BAP address, and the corresponding BAP SDU </w:t>
      </w:r>
      <w:r>
        <w:rPr>
          <w:rFonts w:ascii="Times New Roman" w:hAnsi="Times New Roman"/>
          <w:lang w:val="en-GB"/>
        </w:rPr>
        <w:lastRenderedPageBreak/>
        <w:t xml:space="preserve">should be delivered to the upper layer of the IAB-MT’s BAP layer, the BAP entity at the boundary IAB-MT should be aware of which logical DU the BAP SDU to </w:t>
      </w:r>
      <w:r>
        <w:rPr>
          <w:rFonts w:ascii="Times New Roman" w:hAnsi="Times New Roman" w:hint="eastAsia"/>
          <w:lang w:val="en-GB"/>
        </w:rPr>
        <w:t>b</w:t>
      </w:r>
      <w:r>
        <w:rPr>
          <w:rFonts w:ascii="Times New Roman" w:hAnsi="Times New Roman"/>
          <w:lang w:val="en-GB"/>
        </w:rPr>
        <w:t>e delivered to. It is still unclear how the BAP entity at the boundary IAB-MT differentiate the DL traffic to two different logical DUs.</w:t>
      </w:r>
      <w:r w:rsidR="0070737D">
        <w:rPr>
          <w:rFonts w:ascii="Times New Roman" w:hAnsi="Times New Roman"/>
          <w:lang w:val="en-GB"/>
        </w:rPr>
        <w:t xml:space="preserve"> </w:t>
      </w:r>
    </w:p>
    <w:p w14:paraId="5E2D3BD9" w14:textId="3A6FB622" w:rsidR="008E5555" w:rsidRPr="00D42599" w:rsidRDefault="008E5555" w:rsidP="00D42599">
      <w:pPr>
        <w:spacing w:after="180"/>
        <w:rPr>
          <w:rFonts w:ascii="Times New Roman" w:hAnsi="Times New Roman"/>
          <w:lang w:val="en-GB"/>
        </w:rPr>
      </w:pPr>
      <w:r>
        <w:rPr>
          <w:rFonts w:ascii="Times New Roman" w:hAnsi="Times New Roman"/>
          <w:lang w:val="en-GB"/>
        </w:rPr>
        <w:t xml:space="preserve">Furthermore, </w:t>
      </w:r>
      <w:r w:rsidR="00BB4B00">
        <w:rPr>
          <w:rFonts w:ascii="Times New Roman" w:hAnsi="Times New Roman"/>
          <w:lang w:val="en-GB"/>
        </w:rPr>
        <w:t xml:space="preserve">since the two physical cells managed by the two logical DUs will be activated </w:t>
      </w:r>
      <w:r w:rsidR="00AC421A">
        <w:rPr>
          <w:rFonts w:ascii="Times New Roman" w:hAnsi="Times New Roman"/>
          <w:lang w:val="en-GB"/>
        </w:rPr>
        <w:t>simultaneously for a</w:t>
      </w:r>
      <w:r w:rsidR="00BB4B00">
        <w:rPr>
          <w:rFonts w:ascii="Times New Roman" w:hAnsi="Times New Roman"/>
          <w:lang w:val="en-GB"/>
        </w:rPr>
        <w:t xml:space="preserve"> period of time, </w:t>
      </w:r>
      <w:r>
        <w:rPr>
          <w:rFonts w:ascii="Times New Roman" w:hAnsi="Times New Roman"/>
          <w:lang w:val="en-GB"/>
        </w:rPr>
        <w:t>the</w:t>
      </w:r>
      <w:r w:rsidR="00BB4B00">
        <w:rPr>
          <w:rFonts w:ascii="Times New Roman" w:hAnsi="Times New Roman"/>
          <w:lang w:val="en-GB"/>
        </w:rPr>
        <w:t>n</w:t>
      </w:r>
      <w:r>
        <w:rPr>
          <w:rFonts w:ascii="Times New Roman" w:hAnsi="Times New Roman"/>
          <w:lang w:val="en-GB"/>
        </w:rPr>
        <w:t xml:space="preserve"> Alt 1 seems </w:t>
      </w:r>
      <w:r w:rsidR="00AC421A">
        <w:rPr>
          <w:rFonts w:ascii="Times New Roman" w:hAnsi="Times New Roman"/>
          <w:lang w:val="en-GB"/>
        </w:rPr>
        <w:t xml:space="preserve">to </w:t>
      </w:r>
      <w:r>
        <w:rPr>
          <w:rFonts w:ascii="Times New Roman" w:hAnsi="Times New Roman"/>
          <w:lang w:val="en-GB"/>
        </w:rPr>
        <w:t>require two separate physical DUs</w:t>
      </w:r>
      <w:r w:rsidR="00D54EEB">
        <w:rPr>
          <w:rFonts w:ascii="Times New Roman" w:hAnsi="Times New Roman"/>
          <w:lang w:val="en-GB"/>
        </w:rPr>
        <w:t xml:space="preserve"> (e.g. two sets of baseband resources, two sets of RFs, etc.)</w:t>
      </w:r>
      <w:r>
        <w:rPr>
          <w:rFonts w:ascii="Times New Roman" w:hAnsi="Times New Roman"/>
          <w:lang w:val="en-GB"/>
        </w:rPr>
        <w:t xml:space="preserve">, rather than just </w:t>
      </w:r>
      <w:r w:rsidR="00165ADD">
        <w:rPr>
          <w:rFonts w:ascii="Times New Roman" w:hAnsi="Times New Roman"/>
          <w:lang w:val="en-GB"/>
        </w:rPr>
        <w:t>“</w:t>
      </w:r>
      <w:r>
        <w:rPr>
          <w:rFonts w:ascii="Times New Roman" w:hAnsi="Times New Roman"/>
          <w:lang w:val="en-GB"/>
        </w:rPr>
        <w:t>logical</w:t>
      </w:r>
      <w:r w:rsidR="00165ADD">
        <w:rPr>
          <w:rFonts w:ascii="Times New Roman" w:hAnsi="Times New Roman"/>
          <w:lang w:val="en-GB"/>
        </w:rPr>
        <w:t>”</w:t>
      </w:r>
      <w:r>
        <w:rPr>
          <w:rFonts w:ascii="Times New Roman" w:hAnsi="Times New Roman"/>
          <w:lang w:val="en-GB"/>
        </w:rPr>
        <w:t xml:space="preserve"> DUs, </w:t>
      </w:r>
      <w:r w:rsidR="00BB4B00">
        <w:rPr>
          <w:rFonts w:ascii="Times New Roman" w:hAnsi="Times New Roman"/>
          <w:lang w:val="en-GB"/>
        </w:rPr>
        <w:t xml:space="preserve">then the </w:t>
      </w:r>
      <w:r w:rsidR="00056BAD">
        <w:rPr>
          <w:rFonts w:ascii="Times New Roman" w:hAnsi="Times New Roman"/>
          <w:lang w:val="en-GB"/>
        </w:rPr>
        <w:t xml:space="preserve">complexity and </w:t>
      </w:r>
      <w:r w:rsidR="00BB4B00">
        <w:rPr>
          <w:rFonts w:ascii="Times New Roman" w:hAnsi="Times New Roman"/>
          <w:lang w:val="en-GB"/>
        </w:rPr>
        <w:t xml:space="preserve">cost of IAB-node will be increased due to </w:t>
      </w:r>
      <w:r w:rsidR="00E00ED4">
        <w:rPr>
          <w:rFonts w:ascii="Times New Roman" w:hAnsi="Times New Roman"/>
          <w:lang w:val="en-GB"/>
        </w:rPr>
        <w:t>two sets of real</w:t>
      </w:r>
      <w:r w:rsidR="00BB4B00">
        <w:rPr>
          <w:rFonts w:ascii="Times New Roman" w:hAnsi="Times New Roman"/>
          <w:lang w:val="en-GB"/>
        </w:rPr>
        <w:t xml:space="preserve"> DU parts </w:t>
      </w:r>
      <w:r w:rsidR="00E00ED4">
        <w:rPr>
          <w:rFonts w:ascii="Times New Roman" w:hAnsi="Times New Roman"/>
          <w:lang w:val="en-GB"/>
        </w:rPr>
        <w:t>are needed</w:t>
      </w:r>
      <w:r w:rsidR="00BB4B00">
        <w:rPr>
          <w:rFonts w:ascii="Times New Roman" w:hAnsi="Times New Roman"/>
          <w:lang w:val="en-GB"/>
        </w:rPr>
        <w:t xml:space="preserve">. </w:t>
      </w:r>
    </w:p>
    <w:p w14:paraId="085DCCED" w14:textId="783DAED9" w:rsidR="0036760D" w:rsidRPr="00056BAD" w:rsidRDefault="00056BAD" w:rsidP="0036760D">
      <w:pPr>
        <w:rPr>
          <w:rFonts w:ascii="Times New Roman" w:hAnsi="Times New Roman"/>
          <w:b/>
        </w:rPr>
      </w:pPr>
      <w:r w:rsidRPr="00056BAD">
        <w:rPr>
          <w:rFonts w:ascii="Times New Roman" w:hAnsi="Times New Roman"/>
          <w:b/>
        </w:rPr>
        <w:t xml:space="preserve">Proposal 1: RAN2 </w:t>
      </w:r>
      <w:r w:rsidR="006A250E">
        <w:rPr>
          <w:rFonts w:ascii="Times New Roman" w:hAnsi="Times New Roman"/>
          <w:b/>
        </w:rPr>
        <w:t xml:space="preserve">to </w:t>
      </w:r>
      <w:r w:rsidRPr="00056BAD">
        <w:rPr>
          <w:rFonts w:ascii="Times New Roman" w:hAnsi="Times New Roman"/>
          <w:b/>
        </w:rPr>
        <w:t>ask RAN3 for the following clarifications</w:t>
      </w:r>
      <w:r w:rsidR="00F113C4">
        <w:rPr>
          <w:rFonts w:ascii="Times New Roman" w:hAnsi="Times New Roman"/>
          <w:b/>
        </w:rPr>
        <w:t>/confirmations</w:t>
      </w:r>
      <w:r w:rsidRPr="00056BAD">
        <w:rPr>
          <w:rFonts w:ascii="Times New Roman" w:hAnsi="Times New Roman"/>
          <w:b/>
        </w:rPr>
        <w:t xml:space="preserve"> of Alt1:</w:t>
      </w:r>
    </w:p>
    <w:p w14:paraId="118B5274" w14:textId="6AAB04F3" w:rsidR="00056BAD" w:rsidRPr="004660A4" w:rsidRDefault="00056BAD" w:rsidP="00805148">
      <w:pPr>
        <w:pStyle w:val="af8"/>
        <w:numPr>
          <w:ilvl w:val="0"/>
          <w:numId w:val="21"/>
        </w:numPr>
        <w:spacing w:after="180"/>
        <w:ind w:leftChars="150" w:left="657" w:hanging="357"/>
        <w:rPr>
          <w:rFonts w:ascii="Times New Roman" w:hAnsi="Times New Roman"/>
          <w:b/>
          <w:lang w:val="en-GB"/>
        </w:rPr>
      </w:pPr>
      <w:r w:rsidRPr="004660A4">
        <w:rPr>
          <w:rFonts w:ascii="Times New Roman" w:hAnsi="Times New Roman"/>
          <w:b/>
          <w:sz w:val="20"/>
          <w:lang w:val="en-GB" w:eastAsia="zh-CN"/>
        </w:rPr>
        <w:t xml:space="preserve">Whether the two physical cells managed by two logical DUs are </w:t>
      </w:r>
      <w:r w:rsidR="006A250E" w:rsidRPr="004660A4">
        <w:rPr>
          <w:rFonts w:ascii="Times New Roman" w:hAnsi="Times New Roman"/>
          <w:b/>
          <w:sz w:val="20"/>
          <w:lang w:val="en-GB" w:eastAsia="zh-CN"/>
        </w:rPr>
        <w:t>on different carriers</w:t>
      </w:r>
      <w:r w:rsidRPr="004660A4">
        <w:rPr>
          <w:rFonts w:ascii="Times New Roman" w:hAnsi="Times New Roman"/>
          <w:b/>
          <w:sz w:val="20"/>
          <w:lang w:val="en-GB" w:eastAsia="zh-CN"/>
        </w:rPr>
        <w:t xml:space="preserve">? </w:t>
      </w:r>
    </w:p>
    <w:p w14:paraId="28E6E204" w14:textId="3DE9CCDF" w:rsidR="00056BAD" w:rsidRPr="004660A4" w:rsidRDefault="00056BAD" w:rsidP="00805148">
      <w:pPr>
        <w:pStyle w:val="af8"/>
        <w:numPr>
          <w:ilvl w:val="0"/>
          <w:numId w:val="21"/>
        </w:numPr>
        <w:spacing w:after="180"/>
        <w:ind w:leftChars="150" w:left="657" w:hanging="357"/>
        <w:rPr>
          <w:rFonts w:ascii="Times New Roman" w:eastAsiaTheme="minorEastAsia" w:hAnsi="Times New Roman"/>
          <w:b/>
          <w:lang w:val="en-US"/>
        </w:rPr>
      </w:pPr>
      <w:r w:rsidRPr="004660A4">
        <w:rPr>
          <w:rFonts w:ascii="Times New Roman" w:hAnsi="Times New Roman"/>
          <w:b/>
          <w:sz w:val="20"/>
          <w:lang w:val="en-GB" w:eastAsia="zh-CN"/>
        </w:rPr>
        <w:t xml:space="preserve">Whether the two logical DUs share one MT, when the two physical cells managed by two logical DUs are activated simultaneously </w:t>
      </w:r>
      <w:r w:rsidR="006A250E" w:rsidRPr="004660A4">
        <w:rPr>
          <w:rFonts w:ascii="Times New Roman" w:hAnsi="Times New Roman"/>
          <w:b/>
          <w:sz w:val="20"/>
          <w:lang w:val="en-GB" w:eastAsia="zh-CN"/>
        </w:rPr>
        <w:t>for a</w:t>
      </w:r>
      <w:r w:rsidRPr="004660A4">
        <w:rPr>
          <w:rFonts w:ascii="Times New Roman" w:hAnsi="Times New Roman"/>
          <w:b/>
          <w:sz w:val="20"/>
          <w:lang w:val="en-GB" w:eastAsia="zh-CN"/>
        </w:rPr>
        <w:t xml:space="preserve"> period of time</w:t>
      </w:r>
      <w:r w:rsidR="00BA66D0" w:rsidRPr="004660A4">
        <w:rPr>
          <w:rFonts w:ascii="Times New Roman" w:hAnsi="Times New Roman" w:hint="eastAsia"/>
          <w:b/>
          <w:sz w:val="20"/>
          <w:lang w:val="en-GB" w:eastAsia="zh-CN"/>
        </w:rPr>
        <w:t>?</w:t>
      </w:r>
    </w:p>
    <w:p w14:paraId="3C797DEF" w14:textId="77777777" w:rsidR="0036760D" w:rsidRDefault="00056BAD" w:rsidP="00056BAD">
      <w:pPr>
        <w:overflowPunct/>
        <w:autoSpaceDE/>
        <w:autoSpaceDN/>
        <w:adjustRightInd/>
        <w:spacing w:after="0"/>
        <w:textAlignment w:val="auto"/>
        <w:rPr>
          <w:rFonts w:ascii="Times New Roman" w:hAnsi="Times New Roman"/>
          <w:b/>
          <w:lang w:val="x-none"/>
        </w:rPr>
      </w:pPr>
      <w:r w:rsidRPr="00056BAD">
        <w:rPr>
          <w:rFonts w:ascii="Times New Roman" w:hAnsi="Times New Roman"/>
          <w:b/>
          <w:lang w:val="x-none"/>
        </w:rPr>
        <w:t xml:space="preserve">Proposal </w:t>
      </w:r>
      <w:r>
        <w:rPr>
          <w:rFonts w:ascii="Times New Roman" w:hAnsi="Times New Roman"/>
          <w:b/>
          <w:lang w:val="x-none"/>
        </w:rPr>
        <w:t>2</w:t>
      </w:r>
      <w:r w:rsidRPr="00056BAD">
        <w:rPr>
          <w:rFonts w:ascii="Times New Roman" w:hAnsi="Times New Roman"/>
          <w:b/>
          <w:lang w:val="x-none"/>
        </w:rPr>
        <w:t xml:space="preserve">: RAN2 see the following technical </w:t>
      </w:r>
      <w:r w:rsidR="0025663F" w:rsidRPr="0025663F">
        <w:rPr>
          <w:rFonts w:ascii="Times New Roman" w:hAnsi="Times New Roman"/>
          <w:b/>
          <w:lang w:val="x-none"/>
        </w:rPr>
        <w:t>issue</w:t>
      </w:r>
      <w:r w:rsidR="0025663F">
        <w:rPr>
          <w:rFonts w:ascii="Times New Roman" w:hAnsi="Times New Roman"/>
          <w:b/>
          <w:lang w:val="x-none"/>
        </w:rPr>
        <w:t>s</w:t>
      </w:r>
      <w:r w:rsidRPr="00056BAD">
        <w:rPr>
          <w:rFonts w:ascii="Times New Roman" w:hAnsi="Times New Roman"/>
          <w:b/>
          <w:lang w:val="x-none"/>
        </w:rPr>
        <w:t xml:space="preserve"> for Alt1:</w:t>
      </w:r>
    </w:p>
    <w:p w14:paraId="1BE1026F" w14:textId="20DDC2E4" w:rsidR="00056BAD" w:rsidRPr="00056BAD" w:rsidRDefault="00056BAD" w:rsidP="00805148">
      <w:pPr>
        <w:pStyle w:val="af8"/>
        <w:numPr>
          <w:ilvl w:val="0"/>
          <w:numId w:val="22"/>
        </w:numPr>
        <w:spacing w:beforeLines="50" w:before="120"/>
        <w:ind w:leftChars="150" w:left="720"/>
        <w:rPr>
          <w:rFonts w:ascii="Times New Roman" w:hAnsi="Times New Roman"/>
          <w:b/>
          <w:sz w:val="20"/>
        </w:rPr>
      </w:pPr>
      <w:r w:rsidRPr="00056BAD">
        <w:rPr>
          <w:rFonts w:ascii="Times New Roman" w:hAnsi="Times New Roman"/>
          <w:b/>
          <w:sz w:val="20"/>
          <w:lang w:val="en-GB"/>
        </w:rPr>
        <w:t>How should the BAP layer at boundary IAB-MT apply the F1AP configurations received from two CU</w:t>
      </w:r>
      <w:r w:rsidR="006A250E">
        <w:rPr>
          <w:rFonts w:ascii="Times New Roman" w:hAnsi="Times New Roman"/>
          <w:b/>
          <w:sz w:val="20"/>
          <w:lang w:val="en-GB"/>
        </w:rPr>
        <w:t>s</w:t>
      </w:r>
      <w:r w:rsidRPr="00056BAD">
        <w:rPr>
          <w:rFonts w:ascii="Times New Roman" w:hAnsi="Times New Roman"/>
          <w:b/>
          <w:sz w:val="20"/>
          <w:lang w:val="en-GB"/>
        </w:rPr>
        <w:t xml:space="preserve"> via two logical DUs</w:t>
      </w:r>
      <w:r w:rsidRPr="00056BAD">
        <w:rPr>
          <w:rFonts w:ascii="Times New Roman" w:hAnsi="Times New Roman"/>
          <w:sz w:val="20"/>
          <w:lang w:val="en-GB"/>
        </w:rPr>
        <w:t>?</w:t>
      </w:r>
    </w:p>
    <w:p w14:paraId="2227102D" w14:textId="77777777" w:rsidR="00056BAD" w:rsidRDefault="00056BAD" w:rsidP="00805148">
      <w:pPr>
        <w:pStyle w:val="af8"/>
        <w:numPr>
          <w:ilvl w:val="0"/>
          <w:numId w:val="22"/>
        </w:numPr>
        <w:spacing w:beforeLines="50" w:before="120"/>
        <w:ind w:leftChars="150" w:left="720"/>
        <w:rPr>
          <w:rFonts w:ascii="Times New Roman" w:hAnsi="Times New Roman"/>
          <w:b/>
          <w:sz w:val="20"/>
        </w:rPr>
      </w:pPr>
      <w:r w:rsidRPr="00056BAD">
        <w:rPr>
          <w:rFonts w:ascii="Times New Roman" w:hAnsi="Times New Roman"/>
          <w:b/>
          <w:sz w:val="20"/>
        </w:rPr>
        <w:t xml:space="preserve">How </w:t>
      </w:r>
      <w:r w:rsidRPr="00056BAD">
        <w:rPr>
          <w:rFonts w:ascii="Times New Roman" w:hAnsi="Times New Roman"/>
          <w:b/>
          <w:sz w:val="20"/>
          <w:lang w:val="en-GB"/>
        </w:rPr>
        <w:t>should</w:t>
      </w:r>
      <w:r w:rsidRPr="00056BAD">
        <w:rPr>
          <w:rFonts w:ascii="Times New Roman" w:hAnsi="Times New Roman"/>
          <w:b/>
          <w:sz w:val="20"/>
        </w:rPr>
        <w:t xml:space="preserve"> the BAP entity at the boundary IAB-MT differentiate the DL traffic to source and target logical DU?</w:t>
      </w:r>
    </w:p>
    <w:p w14:paraId="37BD439E" w14:textId="77777777" w:rsidR="001A2D83" w:rsidRPr="001A2D83" w:rsidRDefault="004C6BAA" w:rsidP="001A2D83">
      <w:pPr>
        <w:pStyle w:val="30"/>
        <w:numPr>
          <w:ilvl w:val="2"/>
          <w:numId w:val="1"/>
        </w:numPr>
        <w:rPr>
          <w:rFonts w:cs="Arial"/>
          <w:sz w:val="24"/>
        </w:rPr>
      </w:pPr>
      <w:r>
        <w:rPr>
          <w:rFonts w:cs="Arial"/>
          <w:sz w:val="24"/>
        </w:rPr>
        <w:t>Technical issues</w:t>
      </w:r>
      <w:r w:rsidR="001A2D83" w:rsidRPr="001A2D83">
        <w:rPr>
          <w:rFonts w:cs="Arial"/>
          <w:sz w:val="24"/>
        </w:rPr>
        <w:t xml:space="preserve"> for Alt </w:t>
      </w:r>
      <w:r w:rsidR="001A2D83">
        <w:rPr>
          <w:rFonts w:cs="Arial"/>
          <w:sz w:val="24"/>
        </w:rPr>
        <w:t>2</w:t>
      </w:r>
    </w:p>
    <w:p w14:paraId="72D7E4FA" w14:textId="54774025" w:rsidR="00056BAD" w:rsidRPr="00505FFE" w:rsidRDefault="00505FFE" w:rsidP="00056BAD">
      <w:pPr>
        <w:overflowPunct/>
        <w:autoSpaceDE/>
        <w:autoSpaceDN/>
        <w:adjustRightInd/>
        <w:spacing w:after="0"/>
        <w:textAlignment w:val="auto"/>
        <w:rPr>
          <w:rFonts w:ascii="Times New Roman" w:hAnsi="Times New Roman"/>
          <w:lang w:val="x-none"/>
        </w:rPr>
      </w:pPr>
      <w:r w:rsidRPr="00505FFE">
        <w:rPr>
          <w:rFonts w:ascii="Times New Roman" w:hAnsi="Times New Roman"/>
          <w:lang w:val="x-none"/>
        </w:rPr>
        <w:t>For Alt2</w:t>
      </w:r>
      <w:r>
        <w:rPr>
          <w:rFonts w:ascii="Times New Roman" w:hAnsi="Times New Roman"/>
          <w:lang w:val="x-none"/>
        </w:rPr>
        <w:t>,</w:t>
      </w:r>
      <w:r w:rsidRPr="00505FFE">
        <w:rPr>
          <w:rFonts w:ascii="Times New Roman" w:hAnsi="Times New Roman"/>
          <w:lang w:val="x-none"/>
        </w:rPr>
        <w:t xml:space="preserve"> </w:t>
      </w:r>
      <w:r>
        <w:rPr>
          <w:rFonts w:ascii="Times New Roman" w:hAnsi="Times New Roman"/>
          <w:lang w:val="en-GB"/>
        </w:rPr>
        <w:t xml:space="preserve">there are also some further technical </w:t>
      </w:r>
      <w:r w:rsidR="0025663F">
        <w:rPr>
          <w:rFonts w:ascii="Times New Roman" w:hAnsi="Times New Roman"/>
          <w:lang w:val="en-GB"/>
        </w:rPr>
        <w:t>issue</w:t>
      </w:r>
      <w:r>
        <w:rPr>
          <w:rFonts w:ascii="Times New Roman" w:hAnsi="Times New Roman"/>
          <w:lang w:val="en-GB"/>
        </w:rPr>
        <w:t xml:space="preserve">s, in addition to the BAP modelling related </w:t>
      </w:r>
      <w:r w:rsidR="003A338D">
        <w:rPr>
          <w:rFonts w:ascii="Times New Roman" w:hAnsi="Times New Roman"/>
          <w:lang w:val="en-GB"/>
        </w:rPr>
        <w:t xml:space="preserve">ones </w:t>
      </w:r>
      <w:r>
        <w:rPr>
          <w:rFonts w:ascii="Times New Roman" w:hAnsi="Times New Roman"/>
          <w:lang w:val="en-GB"/>
        </w:rPr>
        <w:t>(the technical concern</w:t>
      </w:r>
      <w:r w:rsidR="003A338D">
        <w:rPr>
          <w:rFonts w:ascii="Times New Roman" w:hAnsi="Times New Roman"/>
          <w:lang w:val="en-GB"/>
        </w:rPr>
        <w:t>s</w:t>
      </w:r>
      <w:r>
        <w:rPr>
          <w:rFonts w:ascii="Times New Roman" w:hAnsi="Times New Roman"/>
          <w:lang w:val="en-GB"/>
        </w:rPr>
        <w:t xml:space="preserve"> 1 and 2 in section 2.1.1): </w:t>
      </w:r>
    </w:p>
    <w:p w14:paraId="6E0DED76" w14:textId="26D89657" w:rsidR="00F113C4" w:rsidRDefault="00505FFE" w:rsidP="00056BAD">
      <w:pPr>
        <w:overflowPunct/>
        <w:autoSpaceDE/>
        <w:autoSpaceDN/>
        <w:adjustRightInd/>
        <w:spacing w:after="0"/>
        <w:textAlignment w:val="auto"/>
        <w:rPr>
          <w:rFonts w:ascii="Times New Roman" w:hAnsi="Times New Roman"/>
          <w:b/>
          <w:i/>
          <w:lang w:val="en-GB"/>
        </w:rPr>
      </w:pPr>
      <w:r>
        <w:rPr>
          <w:rFonts w:ascii="Times New Roman" w:hAnsi="Times New Roman"/>
          <w:b/>
          <w:u w:val="single"/>
          <w:lang w:val="en-GB"/>
        </w:rPr>
        <w:t xml:space="preserve">Technical </w:t>
      </w:r>
      <w:r w:rsidR="0025663F">
        <w:rPr>
          <w:rFonts w:ascii="Times New Roman" w:hAnsi="Times New Roman"/>
          <w:b/>
          <w:u w:val="single"/>
          <w:lang w:val="en-GB"/>
        </w:rPr>
        <w:t>issue</w:t>
      </w:r>
      <w:r>
        <w:rPr>
          <w:rFonts w:ascii="Times New Roman" w:hAnsi="Times New Roman"/>
          <w:b/>
          <w:u w:val="single"/>
          <w:lang w:val="en-GB"/>
        </w:rPr>
        <w:t xml:space="preserve"> 3</w:t>
      </w:r>
      <w:r w:rsidRPr="00F170E2">
        <w:rPr>
          <w:rFonts w:ascii="Times New Roman" w:hAnsi="Times New Roman"/>
          <w:b/>
          <w:u w:val="single"/>
          <w:lang w:val="en-GB"/>
        </w:rPr>
        <w:t>: In Alt.2, when does the boundary IAB-DU switch from the source CU configuration to the target CU configuration (e.g. how to ensure all the required HO commands are sent</w:t>
      </w:r>
      <w:r w:rsidR="003A338D">
        <w:rPr>
          <w:rFonts w:ascii="Times New Roman" w:hAnsi="Times New Roman"/>
          <w:b/>
          <w:u w:val="single"/>
          <w:lang w:val="en-GB"/>
        </w:rPr>
        <w:t xml:space="preserve"> to UEs/MTs</w:t>
      </w:r>
      <w:r w:rsidRPr="00F170E2">
        <w:rPr>
          <w:rFonts w:ascii="Times New Roman" w:hAnsi="Times New Roman"/>
          <w:b/>
          <w:u w:val="single"/>
          <w:lang w:val="en-GB"/>
        </w:rPr>
        <w:t xml:space="preserve"> before switching)</w:t>
      </w:r>
      <w:r>
        <w:rPr>
          <w:rFonts w:ascii="Times New Roman" w:hAnsi="Times New Roman"/>
          <w:b/>
          <w:u w:val="single"/>
          <w:lang w:val="en-GB"/>
        </w:rPr>
        <w:t>?</w:t>
      </w:r>
      <w:r w:rsidRPr="00F170E2">
        <w:rPr>
          <w:rFonts w:ascii="Times New Roman" w:hAnsi="Times New Roman"/>
          <w:b/>
          <w:i/>
          <w:lang w:val="en-GB"/>
        </w:rPr>
        <w:t xml:space="preserve"> </w:t>
      </w:r>
    </w:p>
    <w:p w14:paraId="5F785031" w14:textId="1A706351" w:rsidR="00056BAD" w:rsidRPr="00056BAD" w:rsidRDefault="00505FFE" w:rsidP="00056BAD">
      <w:pPr>
        <w:overflowPunct/>
        <w:autoSpaceDE/>
        <w:autoSpaceDN/>
        <w:adjustRightInd/>
        <w:spacing w:after="0"/>
        <w:textAlignment w:val="auto"/>
        <w:rPr>
          <w:rFonts w:ascii="Times New Roman" w:hAnsi="Times New Roman"/>
          <w:b/>
          <w:lang w:val="x-none"/>
        </w:rPr>
      </w:pPr>
      <w:r w:rsidRPr="00EB47B3">
        <w:rPr>
          <w:rFonts w:ascii="Times New Roman" w:hAnsi="Times New Roman"/>
          <w:lang w:val="en-GB"/>
        </w:rPr>
        <w:t>A</w:t>
      </w:r>
      <w:r w:rsidRPr="00D57785">
        <w:rPr>
          <w:rFonts w:ascii="Times New Roman" w:hAnsi="Times New Roman"/>
          <w:lang w:val="en-GB"/>
        </w:rPr>
        <w:t xml:space="preserve">fter </w:t>
      </w:r>
      <w:r w:rsidR="003A338D">
        <w:rPr>
          <w:rFonts w:ascii="Times New Roman" w:hAnsi="Times New Roman"/>
          <w:lang w:val="en-GB"/>
        </w:rPr>
        <w:t xml:space="preserve">the </w:t>
      </w:r>
      <w:r w:rsidRPr="00D57785">
        <w:rPr>
          <w:rFonts w:ascii="Times New Roman" w:hAnsi="Times New Roman"/>
          <w:lang w:val="en-GB"/>
        </w:rPr>
        <w:t>new F1 connection establishment, when to switch the IAB-DU’s cell</w:t>
      </w:r>
      <w:r>
        <w:rPr>
          <w:rFonts w:ascii="Times New Roman" w:hAnsi="Times New Roman"/>
          <w:lang w:val="en-GB"/>
        </w:rPr>
        <w:t>s</w:t>
      </w:r>
      <w:r w:rsidRPr="00D57785">
        <w:rPr>
          <w:rFonts w:ascii="Times New Roman" w:hAnsi="Times New Roman"/>
          <w:lang w:val="en-GB"/>
        </w:rPr>
        <w:t xml:space="preserve"> to be the cell of target donor also needs to be discussed. If the IAB-DU cell switching is before the handover of all the child IAB-MTs and UEs, this will cause that </w:t>
      </w:r>
      <w:r>
        <w:rPr>
          <w:rFonts w:ascii="Times New Roman" w:hAnsi="Times New Roman"/>
          <w:lang w:val="en-GB"/>
        </w:rPr>
        <w:t>the</w:t>
      </w:r>
      <w:r w:rsidRPr="00D57785">
        <w:rPr>
          <w:rFonts w:ascii="Times New Roman" w:hAnsi="Times New Roman"/>
          <w:lang w:val="en-GB"/>
        </w:rPr>
        <w:t xml:space="preserve"> child IAB-MTs and UEs cannot</w:t>
      </w:r>
      <w:r>
        <w:rPr>
          <w:rFonts w:ascii="Times New Roman" w:hAnsi="Times New Roman"/>
          <w:lang w:val="en-GB"/>
        </w:rPr>
        <w:t xml:space="preserve"> continue to</w:t>
      </w:r>
      <w:r w:rsidRPr="00D57785">
        <w:rPr>
          <w:rFonts w:ascii="Times New Roman" w:hAnsi="Times New Roman"/>
          <w:lang w:val="en-GB"/>
        </w:rPr>
        <w:t xml:space="preserve"> </w:t>
      </w:r>
      <w:r>
        <w:rPr>
          <w:rFonts w:ascii="Times New Roman" w:hAnsi="Times New Roman"/>
          <w:lang w:val="en-GB"/>
        </w:rPr>
        <w:t xml:space="preserve">keep </w:t>
      </w:r>
      <w:r w:rsidRPr="00D57785">
        <w:rPr>
          <w:rFonts w:ascii="Times New Roman" w:hAnsi="Times New Roman"/>
          <w:lang w:val="en-GB"/>
        </w:rPr>
        <w:t xml:space="preserve">synchronization with their serving cell, and the service </w:t>
      </w:r>
      <w:r>
        <w:rPr>
          <w:rFonts w:ascii="Times New Roman" w:hAnsi="Times New Roman"/>
          <w:lang w:val="en-GB"/>
        </w:rPr>
        <w:t>will be</w:t>
      </w:r>
      <w:r w:rsidRPr="00D57785">
        <w:rPr>
          <w:rFonts w:ascii="Times New Roman" w:hAnsi="Times New Roman"/>
          <w:lang w:val="en-GB"/>
        </w:rPr>
        <w:t xml:space="preserve"> interrupted.</w:t>
      </w:r>
      <w:r>
        <w:rPr>
          <w:rFonts w:ascii="Times New Roman" w:hAnsi="Times New Roman"/>
          <w:lang w:val="en-GB"/>
        </w:rPr>
        <w:t xml:space="preserve"> Therefore, all the HO commands for the UEs and child IAB-nodes should be sent before the parent IAB-DU switching.</w:t>
      </w:r>
    </w:p>
    <w:p w14:paraId="0317DA54" w14:textId="525B06E3" w:rsidR="00F113C4" w:rsidRDefault="00505FFE" w:rsidP="00505FFE">
      <w:pPr>
        <w:spacing w:beforeLines="50" w:before="120"/>
        <w:rPr>
          <w:rFonts w:ascii="Times New Roman" w:hAnsi="Times New Roman"/>
          <w:lang w:val="en-GB"/>
        </w:rPr>
      </w:pPr>
      <w:r>
        <w:rPr>
          <w:rFonts w:ascii="Times New Roman" w:hAnsi="Times New Roman"/>
          <w:b/>
          <w:u w:val="single"/>
          <w:lang w:val="en-GB"/>
        </w:rPr>
        <w:t xml:space="preserve">Technical </w:t>
      </w:r>
      <w:r w:rsidR="0025663F">
        <w:rPr>
          <w:rFonts w:ascii="Times New Roman" w:hAnsi="Times New Roman"/>
          <w:b/>
          <w:u w:val="single"/>
          <w:lang w:val="en-GB"/>
        </w:rPr>
        <w:t>issue</w:t>
      </w:r>
      <w:r>
        <w:rPr>
          <w:rFonts w:ascii="Times New Roman" w:hAnsi="Times New Roman"/>
          <w:b/>
          <w:u w:val="single"/>
          <w:lang w:val="en-GB"/>
        </w:rPr>
        <w:t xml:space="preserve"> 4</w:t>
      </w:r>
      <w:r w:rsidRPr="00EB47B3">
        <w:rPr>
          <w:rFonts w:ascii="Times New Roman" w:hAnsi="Times New Roman"/>
          <w:b/>
          <w:u w:val="single"/>
          <w:lang w:val="en-GB"/>
        </w:rPr>
        <w:t xml:space="preserve">: In Alt.2, since child MTs/UEs of the boundary node receive the HO command before </w:t>
      </w:r>
      <w:r w:rsidR="003A338D">
        <w:rPr>
          <w:rFonts w:ascii="Times New Roman" w:hAnsi="Times New Roman"/>
          <w:b/>
          <w:u w:val="single"/>
          <w:lang w:val="en-GB"/>
        </w:rPr>
        <w:t xml:space="preserve">the </w:t>
      </w:r>
      <w:r w:rsidRPr="00EB47B3">
        <w:rPr>
          <w:rFonts w:ascii="Times New Roman" w:hAnsi="Times New Roman"/>
          <w:b/>
          <w:u w:val="single"/>
          <w:lang w:val="en-GB"/>
        </w:rPr>
        <w:t>boundary IAB-DU switching (i.e. target RACH configuration is not ready yet), child MTs/UEs is not able to perform RA to the target cell of the target logical DU.</w:t>
      </w:r>
      <w:r>
        <w:rPr>
          <w:rFonts w:ascii="Times New Roman" w:hAnsi="Times New Roman"/>
          <w:lang w:val="en-GB"/>
        </w:rPr>
        <w:t xml:space="preserve"> </w:t>
      </w:r>
    </w:p>
    <w:p w14:paraId="25A94DEE" w14:textId="496318C8" w:rsidR="0036760D" w:rsidRDefault="00505FFE" w:rsidP="00505FFE">
      <w:pPr>
        <w:spacing w:beforeLines="50" w:before="120"/>
        <w:rPr>
          <w:rFonts w:ascii="Times New Roman" w:hAnsi="Times New Roman"/>
        </w:rPr>
      </w:pPr>
      <w:r>
        <w:rPr>
          <w:rFonts w:ascii="Times New Roman" w:hAnsi="Times New Roman"/>
          <w:lang w:val="en-GB"/>
        </w:rPr>
        <w:t>This issue is related to the previous one. I</w:t>
      </w:r>
      <w:r w:rsidRPr="00D57785">
        <w:rPr>
          <w:rFonts w:ascii="Times New Roman" w:hAnsi="Times New Roman"/>
          <w:lang w:val="en-GB"/>
        </w:rPr>
        <w:t xml:space="preserve">f the IAB-DU cell switching is </w:t>
      </w:r>
      <w:r>
        <w:rPr>
          <w:rFonts w:ascii="Times New Roman" w:hAnsi="Times New Roman"/>
          <w:lang w:val="en-GB"/>
        </w:rPr>
        <w:t xml:space="preserve">later than </w:t>
      </w:r>
      <w:r w:rsidRPr="00D57785">
        <w:rPr>
          <w:rFonts w:ascii="Times New Roman" w:hAnsi="Times New Roman"/>
          <w:lang w:val="en-GB"/>
        </w:rPr>
        <w:t>the</w:t>
      </w:r>
      <w:r>
        <w:rPr>
          <w:rFonts w:ascii="Times New Roman" w:hAnsi="Times New Roman"/>
          <w:lang w:val="en-GB"/>
        </w:rPr>
        <w:t xml:space="preserve"> </w:t>
      </w:r>
      <w:r w:rsidR="0041495D">
        <w:rPr>
          <w:rFonts w:ascii="Times New Roman" w:hAnsi="Times New Roman"/>
          <w:lang w:val="en-GB"/>
        </w:rPr>
        <w:t xml:space="preserve">reception </w:t>
      </w:r>
      <w:r>
        <w:rPr>
          <w:rFonts w:ascii="Times New Roman" w:hAnsi="Times New Roman"/>
          <w:lang w:val="en-GB"/>
        </w:rPr>
        <w:t>of</w:t>
      </w:r>
      <w:r w:rsidRPr="00D57785">
        <w:rPr>
          <w:rFonts w:ascii="Times New Roman" w:hAnsi="Times New Roman"/>
          <w:lang w:val="en-GB"/>
        </w:rPr>
        <w:t xml:space="preserve"> handover </w:t>
      </w:r>
      <w:r>
        <w:rPr>
          <w:rFonts w:ascii="Times New Roman" w:hAnsi="Times New Roman"/>
          <w:lang w:val="en-GB"/>
        </w:rPr>
        <w:t>command for chi</w:t>
      </w:r>
      <w:r w:rsidRPr="00D57785">
        <w:rPr>
          <w:rFonts w:ascii="Times New Roman" w:hAnsi="Times New Roman"/>
          <w:lang w:val="en-GB"/>
        </w:rPr>
        <w:t xml:space="preserve">ld IAB-MTs and UEs, </w:t>
      </w:r>
      <w:r>
        <w:rPr>
          <w:rFonts w:ascii="Times New Roman" w:hAnsi="Times New Roman"/>
          <w:lang w:val="en-GB"/>
        </w:rPr>
        <w:t xml:space="preserve">the handover of some UEs and child IAB-MTs </w:t>
      </w:r>
      <w:r w:rsidR="0041495D">
        <w:rPr>
          <w:rFonts w:ascii="Times New Roman" w:hAnsi="Times New Roman"/>
          <w:lang w:val="en-GB"/>
        </w:rPr>
        <w:t xml:space="preserve">may </w:t>
      </w:r>
      <w:r>
        <w:rPr>
          <w:rFonts w:ascii="Times New Roman" w:hAnsi="Times New Roman"/>
          <w:lang w:val="en-GB"/>
        </w:rPr>
        <w:t xml:space="preserve">fail due to that the target cell is not activated yet, e.g. </w:t>
      </w:r>
      <w:r w:rsidR="0041495D">
        <w:rPr>
          <w:rFonts w:ascii="Times New Roman" w:hAnsi="Times New Roman"/>
          <w:lang w:val="en-GB"/>
        </w:rPr>
        <w:t xml:space="preserve">target SSBs have not been sent and </w:t>
      </w:r>
      <w:r>
        <w:rPr>
          <w:rFonts w:ascii="Times New Roman" w:hAnsi="Times New Roman"/>
          <w:lang w:val="en-GB"/>
        </w:rPr>
        <w:t>target RACH configuration of the target cell is not ready yet.</w:t>
      </w:r>
    </w:p>
    <w:p w14:paraId="6B1F6D0A" w14:textId="33A1D648" w:rsidR="00505FFE" w:rsidRDefault="00505FFE" w:rsidP="00505FFE">
      <w:pPr>
        <w:overflowPunct/>
        <w:autoSpaceDE/>
        <w:autoSpaceDN/>
        <w:adjustRightInd/>
        <w:spacing w:after="0"/>
        <w:textAlignment w:val="auto"/>
        <w:rPr>
          <w:rFonts w:ascii="Times New Roman" w:hAnsi="Times New Roman"/>
          <w:b/>
          <w:lang w:val="x-none"/>
        </w:rPr>
      </w:pPr>
      <w:r w:rsidRPr="00056BAD">
        <w:rPr>
          <w:rFonts w:ascii="Times New Roman" w:hAnsi="Times New Roman"/>
          <w:b/>
          <w:lang w:val="x-none"/>
        </w:rPr>
        <w:t xml:space="preserve">Proposal </w:t>
      </w:r>
      <w:r w:rsidR="000152F2">
        <w:rPr>
          <w:rFonts w:ascii="Times New Roman" w:hAnsi="Times New Roman"/>
          <w:b/>
          <w:lang w:val="x-none"/>
        </w:rPr>
        <w:t>3</w:t>
      </w:r>
      <w:r w:rsidRPr="00056BAD">
        <w:rPr>
          <w:rFonts w:ascii="Times New Roman" w:hAnsi="Times New Roman"/>
          <w:b/>
          <w:lang w:val="x-none"/>
        </w:rPr>
        <w:t xml:space="preserve">: RAN2 see the following technical </w:t>
      </w:r>
      <w:r w:rsidR="0025663F">
        <w:rPr>
          <w:rFonts w:ascii="Times New Roman" w:hAnsi="Times New Roman"/>
          <w:b/>
          <w:lang w:val="x-none"/>
        </w:rPr>
        <w:t>issues</w:t>
      </w:r>
      <w:r w:rsidRPr="00056BAD">
        <w:rPr>
          <w:rFonts w:ascii="Times New Roman" w:hAnsi="Times New Roman"/>
          <w:b/>
          <w:lang w:val="x-none"/>
        </w:rPr>
        <w:t xml:space="preserve"> for Alt</w:t>
      </w:r>
      <w:r w:rsidR="009968CC">
        <w:rPr>
          <w:rFonts w:ascii="Times New Roman" w:hAnsi="Times New Roman"/>
          <w:b/>
          <w:lang w:val="x-none"/>
        </w:rPr>
        <w:t>2</w:t>
      </w:r>
      <w:r w:rsidRPr="00056BAD">
        <w:rPr>
          <w:rFonts w:ascii="Times New Roman" w:hAnsi="Times New Roman"/>
          <w:b/>
          <w:lang w:val="x-none"/>
        </w:rPr>
        <w:t>:</w:t>
      </w:r>
    </w:p>
    <w:p w14:paraId="2FA700B6" w14:textId="5F3B3375" w:rsidR="00505FFE" w:rsidRPr="00056BAD" w:rsidRDefault="00505FFE" w:rsidP="00805148">
      <w:pPr>
        <w:pStyle w:val="af8"/>
        <w:numPr>
          <w:ilvl w:val="0"/>
          <w:numId w:val="23"/>
        </w:numPr>
        <w:spacing w:beforeLines="50" w:before="120"/>
        <w:ind w:leftChars="150" w:left="720"/>
        <w:rPr>
          <w:rFonts w:ascii="Times New Roman" w:hAnsi="Times New Roman"/>
          <w:b/>
          <w:sz w:val="20"/>
        </w:rPr>
      </w:pPr>
      <w:r w:rsidRPr="00056BAD">
        <w:rPr>
          <w:rFonts w:ascii="Times New Roman" w:hAnsi="Times New Roman"/>
          <w:b/>
          <w:sz w:val="20"/>
          <w:lang w:val="en-GB"/>
        </w:rPr>
        <w:t>How should the BAP layer at boundary IAB-MT apply the F1AP configurations received from two CU</w:t>
      </w:r>
      <w:r w:rsidR="0041495D">
        <w:rPr>
          <w:rFonts w:ascii="Times New Roman" w:hAnsi="Times New Roman"/>
          <w:b/>
          <w:sz w:val="20"/>
          <w:lang w:val="en-GB"/>
        </w:rPr>
        <w:t>s</w:t>
      </w:r>
      <w:r w:rsidRPr="00056BAD">
        <w:rPr>
          <w:rFonts w:ascii="Times New Roman" w:hAnsi="Times New Roman"/>
          <w:b/>
          <w:sz w:val="20"/>
          <w:lang w:val="en-GB"/>
        </w:rPr>
        <w:t xml:space="preserve"> via two logical DUs</w:t>
      </w:r>
      <w:r w:rsidRPr="00056BAD">
        <w:rPr>
          <w:rFonts w:ascii="Times New Roman" w:hAnsi="Times New Roman"/>
          <w:sz w:val="20"/>
          <w:lang w:val="en-GB"/>
        </w:rPr>
        <w:t>?</w:t>
      </w:r>
    </w:p>
    <w:p w14:paraId="34D30522" w14:textId="77777777" w:rsidR="00505FFE" w:rsidRDefault="00505FFE" w:rsidP="00805148">
      <w:pPr>
        <w:pStyle w:val="af8"/>
        <w:numPr>
          <w:ilvl w:val="0"/>
          <w:numId w:val="23"/>
        </w:numPr>
        <w:spacing w:beforeLines="50" w:before="120"/>
        <w:ind w:leftChars="150" w:left="720"/>
        <w:rPr>
          <w:rFonts w:ascii="Times New Roman" w:hAnsi="Times New Roman"/>
          <w:b/>
          <w:sz w:val="20"/>
        </w:rPr>
      </w:pPr>
      <w:r w:rsidRPr="00056BAD">
        <w:rPr>
          <w:rFonts w:ascii="Times New Roman" w:hAnsi="Times New Roman"/>
          <w:b/>
          <w:sz w:val="20"/>
        </w:rPr>
        <w:t xml:space="preserve">How </w:t>
      </w:r>
      <w:r w:rsidRPr="00056BAD">
        <w:rPr>
          <w:rFonts w:ascii="Times New Roman" w:hAnsi="Times New Roman"/>
          <w:b/>
          <w:sz w:val="20"/>
          <w:lang w:val="en-GB"/>
        </w:rPr>
        <w:t>should</w:t>
      </w:r>
      <w:r w:rsidRPr="00056BAD">
        <w:rPr>
          <w:rFonts w:ascii="Times New Roman" w:hAnsi="Times New Roman"/>
          <w:b/>
          <w:sz w:val="20"/>
        </w:rPr>
        <w:t xml:space="preserve"> the BAP entity at the boundary IAB-MT differentiate the DL traffic to source and target logical DU?</w:t>
      </w:r>
    </w:p>
    <w:p w14:paraId="1E78B9FA" w14:textId="3DAE3A5B" w:rsidR="00505FFE" w:rsidRDefault="009968CC" w:rsidP="00805148">
      <w:pPr>
        <w:pStyle w:val="af8"/>
        <w:numPr>
          <w:ilvl w:val="0"/>
          <w:numId w:val="23"/>
        </w:numPr>
        <w:spacing w:beforeLines="50" w:before="120"/>
        <w:ind w:leftChars="150" w:left="720"/>
        <w:rPr>
          <w:rFonts w:ascii="Times New Roman" w:hAnsi="Times New Roman"/>
          <w:b/>
          <w:sz w:val="20"/>
        </w:rPr>
      </w:pPr>
      <w:r>
        <w:rPr>
          <w:rFonts w:ascii="Times New Roman" w:hAnsi="Times New Roman"/>
          <w:b/>
          <w:sz w:val="20"/>
        </w:rPr>
        <w:t>W</w:t>
      </w:r>
      <w:r w:rsidRPr="009968CC">
        <w:rPr>
          <w:rFonts w:ascii="Times New Roman" w:hAnsi="Times New Roman"/>
          <w:b/>
          <w:sz w:val="20"/>
        </w:rPr>
        <w:t>hen does the boundary IAB-DU switch from the source CU configuration to the target CU configuration (e.g. how to ensure all the required HO commands are sent before</w:t>
      </w:r>
      <w:r w:rsidR="00F113C4">
        <w:rPr>
          <w:rFonts w:ascii="Times New Roman" w:hAnsi="Times New Roman"/>
          <w:b/>
          <w:sz w:val="20"/>
        </w:rPr>
        <w:t xml:space="preserve"> the</w:t>
      </w:r>
      <w:r w:rsidRPr="009968CC">
        <w:rPr>
          <w:rFonts w:ascii="Times New Roman" w:hAnsi="Times New Roman"/>
          <w:b/>
          <w:sz w:val="20"/>
        </w:rPr>
        <w:t xml:space="preserve"> switching)?</w:t>
      </w:r>
    </w:p>
    <w:p w14:paraId="18837062" w14:textId="79BA9788" w:rsidR="00505FFE" w:rsidRDefault="009968CC" w:rsidP="00805148">
      <w:pPr>
        <w:pStyle w:val="af8"/>
        <w:numPr>
          <w:ilvl w:val="0"/>
          <w:numId w:val="23"/>
        </w:numPr>
        <w:spacing w:beforeLines="50" w:before="120"/>
        <w:ind w:leftChars="150" w:left="720"/>
        <w:rPr>
          <w:rFonts w:ascii="Times New Roman" w:hAnsi="Times New Roman"/>
          <w:b/>
        </w:rPr>
      </w:pPr>
      <w:r>
        <w:rPr>
          <w:rFonts w:ascii="Times New Roman" w:hAnsi="Times New Roman"/>
          <w:b/>
          <w:sz w:val="20"/>
        </w:rPr>
        <w:t>S</w:t>
      </w:r>
      <w:r w:rsidRPr="009968CC">
        <w:rPr>
          <w:rFonts w:ascii="Times New Roman" w:hAnsi="Times New Roman"/>
          <w:b/>
          <w:sz w:val="20"/>
        </w:rPr>
        <w:t xml:space="preserve">ince child MTs/UEs of the boundary node </w:t>
      </w:r>
      <w:r w:rsidR="0041495D">
        <w:rPr>
          <w:rFonts w:ascii="Times New Roman" w:hAnsi="Times New Roman"/>
          <w:b/>
          <w:sz w:val="20"/>
        </w:rPr>
        <w:t xml:space="preserve">should </w:t>
      </w:r>
      <w:r w:rsidRPr="009968CC">
        <w:rPr>
          <w:rFonts w:ascii="Times New Roman" w:hAnsi="Times New Roman"/>
          <w:b/>
          <w:sz w:val="20"/>
        </w:rPr>
        <w:t xml:space="preserve">receive </w:t>
      </w:r>
      <w:r w:rsidR="00F113C4">
        <w:rPr>
          <w:rFonts w:ascii="Times New Roman" w:hAnsi="Times New Roman"/>
          <w:b/>
          <w:sz w:val="20"/>
        </w:rPr>
        <w:t>their</w:t>
      </w:r>
      <w:r w:rsidR="00F113C4" w:rsidRPr="009968CC">
        <w:rPr>
          <w:rFonts w:ascii="Times New Roman" w:hAnsi="Times New Roman"/>
          <w:b/>
          <w:sz w:val="20"/>
        </w:rPr>
        <w:t xml:space="preserve"> </w:t>
      </w:r>
      <w:r w:rsidRPr="009968CC">
        <w:rPr>
          <w:rFonts w:ascii="Times New Roman" w:hAnsi="Times New Roman"/>
          <w:b/>
          <w:sz w:val="20"/>
        </w:rPr>
        <w:t>HO command</w:t>
      </w:r>
      <w:r w:rsidR="00F113C4">
        <w:rPr>
          <w:rFonts w:ascii="Times New Roman" w:hAnsi="Times New Roman"/>
          <w:b/>
          <w:sz w:val="20"/>
        </w:rPr>
        <w:t>s</w:t>
      </w:r>
      <w:r w:rsidRPr="009968CC">
        <w:rPr>
          <w:rFonts w:ascii="Times New Roman" w:hAnsi="Times New Roman"/>
          <w:b/>
          <w:sz w:val="20"/>
        </w:rPr>
        <w:t xml:space="preserve"> before </w:t>
      </w:r>
      <w:r w:rsidR="00F113C4">
        <w:rPr>
          <w:rFonts w:ascii="Times New Roman" w:hAnsi="Times New Roman"/>
          <w:b/>
          <w:sz w:val="20"/>
        </w:rPr>
        <w:t xml:space="preserve">the </w:t>
      </w:r>
      <w:r w:rsidRPr="009968CC">
        <w:rPr>
          <w:rFonts w:ascii="Times New Roman" w:hAnsi="Times New Roman"/>
          <w:b/>
          <w:sz w:val="20"/>
        </w:rPr>
        <w:t xml:space="preserve">boundary IAB-DU switching (i.e. </w:t>
      </w:r>
      <w:r w:rsidR="00F113C4">
        <w:rPr>
          <w:rFonts w:ascii="Times New Roman" w:hAnsi="Times New Roman"/>
          <w:b/>
          <w:sz w:val="20"/>
        </w:rPr>
        <w:t xml:space="preserve">when </w:t>
      </w:r>
      <w:r w:rsidRPr="009968CC">
        <w:rPr>
          <w:rFonts w:ascii="Times New Roman" w:hAnsi="Times New Roman"/>
          <w:b/>
          <w:sz w:val="20"/>
        </w:rPr>
        <w:t xml:space="preserve">target configuration is not ready yet), child MTs/UEs </w:t>
      </w:r>
      <w:r w:rsidR="00F113C4">
        <w:rPr>
          <w:rFonts w:ascii="Times New Roman" w:hAnsi="Times New Roman"/>
          <w:b/>
          <w:sz w:val="20"/>
        </w:rPr>
        <w:t>are</w:t>
      </w:r>
      <w:r w:rsidR="00F113C4" w:rsidRPr="009968CC">
        <w:rPr>
          <w:rFonts w:ascii="Times New Roman" w:hAnsi="Times New Roman"/>
          <w:b/>
          <w:sz w:val="20"/>
        </w:rPr>
        <w:t xml:space="preserve"> </w:t>
      </w:r>
      <w:r w:rsidRPr="009968CC">
        <w:rPr>
          <w:rFonts w:ascii="Times New Roman" w:hAnsi="Times New Roman"/>
          <w:b/>
          <w:sz w:val="20"/>
        </w:rPr>
        <w:t>not able to perform RA</w:t>
      </w:r>
      <w:r w:rsidR="00F113C4">
        <w:rPr>
          <w:rFonts w:ascii="Times New Roman" w:hAnsi="Times New Roman"/>
          <w:b/>
          <w:sz w:val="20"/>
        </w:rPr>
        <w:t>CH</w:t>
      </w:r>
      <w:r w:rsidRPr="009968CC">
        <w:rPr>
          <w:rFonts w:ascii="Times New Roman" w:hAnsi="Times New Roman"/>
          <w:b/>
          <w:sz w:val="20"/>
        </w:rPr>
        <w:t xml:space="preserve"> to the target cell of the target logical DU</w:t>
      </w:r>
      <w:r>
        <w:rPr>
          <w:rFonts w:ascii="Times New Roman" w:hAnsi="Times New Roman"/>
          <w:b/>
          <w:sz w:val="20"/>
        </w:rPr>
        <w:t>.</w:t>
      </w:r>
    </w:p>
    <w:p w14:paraId="057B1ACC" w14:textId="77777777" w:rsidR="009968CC" w:rsidRDefault="00E30A6A" w:rsidP="009968CC">
      <w:pPr>
        <w:pStyle w:val="30"/>
        <w:numPr>
          <w:ilvl w:val="2"/>
          <w:numId w:val="1"/>
        </w:numPr>
        <w:rPr>
          <w:rFonts w:cs="Arial"/>
          <w:sz w:val="24"/>
        </w:rPr>
      </w:pPr>
      <w:r>
        <w:rPr>
          <w:rFonts w:cs="Arial"/>
          <w:sz w:val="24"/>
        </w:rPr>
        <w:t>Further analysis</w:t>
      </w:r>
      <w:r w:rsidR="009968CC" w:rsidRPr="001A2D83">
        <w:rPr>
          <w:rFonts w:cs="Arial"/>
          <w:sz w:val="24"/>
        </w:rPr>
        <w:t xml:space="preserve"> for Alt </w:t>
      </w:r>
      <w:r w:rsidR="009968CC">
        <w:rPr>
          <w:rFonts w:cs="Arial"/>
          <w:sz w:val="24"/>
        </w:rPr>
        <w:t>2</w:t>
      </w:r>
      <w:r>
        <w:rPr>
          <w:rFonts w:cs="Arial"/>
          <w:sz w:val="24"/>
        </w:rPr>
        <w:t xml:space="preserve"> about the Q1-Q3 in the LS</w:t>
      </w:r>
    </w:p>
    <w:p w14:paraId="5EBFCA9E" w14:textId="77777777" w:rsidR="00E30A6A" w:rsidRPr="00E30A6A" w:rsidRDefault="00E30A6A" w:rsidP="00E30A6A">
      <w:pPr>
        <w:rPr>
          <w:lang w:val="en-GB"/>
        </w:rPr>
      </w:pPr>
      <w:r>
        <w:rPr>
          <w:lang w:val="en-GB"/>
        </w:rPr>
        <w:t xml:space="preserve">As listed in the following, there are 3 additional questions for Alt 2 w.r.t. the PCI/NCGI change for the two logical DUs: </w:t>
      </w:r>
    </w:p>
    <w:p w14:paraId="7ECCE650" w14:textId="77777777" w:rsidR="0036760D" w:rsidRDefault="009968CC" w:rsidP="0036760D">
      <w:pPr>
        <w:rPr>
          <w:rFonts w:ascii="Times New Roman" w:hAnsi="Times New Roman"/>
        </w:rPr>
      </w:pPr>
      <w:r w:rsidRPr="00900C9A">
        <w:rPr>
          <w:rFonts w:ascii="Times New Roman" w:hAnsi="Times New Roman"/>
          <w:noProof/>
        </w:rPr>
        <mc:AlternateContent>
          <mc:Choice Requires="wps">
            <w:drawing>
              <wp:inline distT="0" distB="0" distL="0" distR="0" wp14:anchorId="460C9E2B" wp14:editId="6D1CB401">
                <wp:extent cx="6120765" cy="3941909"/>
                <wp:effectExtent l="0" t="0" r="13335" b="2032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941909"/>
                        </a:xfrm>
                        <a:prstGeom prst="rect">
                          <a:avLst/>
                        </a:prstGeom>
                        <a:solidFill>
                          <a:srgbClr val="FFFFFF"/>
                        </a:solidFill>
                        <a:ln w="9525">
                          <a:solidFill>
                            <a:srgbClr val="000000"/>
                          </a:solidFill>
                          <a:miter lim="800000"/>
                          <a:headEnd/>
                          <a:tailEnd/>
                        </a:ln>
                      </wps:spPr>
                      <wps:txbx>
                        <w:txbxContent>
                          <w:p w14:paraId="51DE8610" w14:textId="77777777" w:rsidR="00AC421A" w:rsidRPr="00685C3F" w:rsidRDefault="00AC421A" w:rsidP="009968CC">
                            <w:pPr>
                              <w:pStyle w:val="afd"/>
                              <w:snapToGrid w:val="0"/>
                              <w:spacing w:after="0" w:afterAutospacing="0"/>
                              <w:rPr>
                                <w:rFonts w:ascii="Arial" w:eastAsia="等线" w:hAnsi="Arial" w:cs="Arial"/>
                                <w:sz w:val="20"/>
                                <w:szCs w:val="20"/>
                                <w:lang w:val="en-GB"/>
                              </w:rPr>
                            </w:pPr>
                            <w:r w:rsidRPr="00685C3F">
                              <w:rPr>
                                <w:rFonts w:ascii="Arial" w:eastAsia="等线" w:hAnsi="Arial" w:cs="Arial" w:hint="eastAsia"/>
                                <w:sz w:val="20"/>
                                <w:szCs w:val="20"/>
                                <w:lang w:val="en-GB"/>
                              </w:rPr>
                              <w:t>F</w:t>
                            </w:r>
                            <w:r w:rsidRPr="00685C3F">
                              <w:rPr>
                                <w:rFonts w:ascii="Arial" w:eastAsia="等线" w:hAnsi="Arial" w:cs="Arial"/>
                                <w:sz w:val="20"/>
                                <w:szCs w:val="20"/>
                                <w:lang w:val="en-GB"/>
                              </w:rPr>
                              <w:t xml:space="preserve">or </w:t>
                            </w:r>
                            <w:r w:rsidRPr="00685C3F">
                              <w:rPr>
                                <w:rFonts w:ascii="Arial" w:eastAsia="等线" w:hAnsi="Arial" w:cs="Arial"/>
                                <w:b/>
                                <w:sz w:val="20"/>
                                <w:szCs w:val="20"/>
                                <w:lang w:val="en-GB"/>
                              </w:rPr>
                              <w:t>Alt2</w:t>
                            </w:r>
                            <w:r w:rsidRPr="00685C3F">
                              <w:rPr>
                                <w:rFonts w:ascii="Arial" w:eastAsia="等线" w:hAnsi="Arial" w:cs="Arial"/>
                                <w:sz w:val="20"/>
                                <w:szCs w:val="20"/>
                                <w:lang w:val="en-GB"/>
                              </w:rPr>
                              <w:t xml:space="preserve">, RAN3 also has some concrete questions w.r.t., PCI/NCGI, i.e., </w:t>
                            </w:r>
                          </w:p>
                          <w:p w14:paraId="60C9F3DE" w14:textId="77777777" w:rsidR="00AC421A" w:rsidRPr="00685C3F" w:rsidRDefault="00AC421A" w:rsidP="00805148">
                            <w:pPr>
                              <w:pStyle w:val="af8"/>
                              <w:numPr>
                                <w:ilvl w:val="0"/>
                                <w:numId w:val="19"/>
                              </w:numPr>
                              <w:rPr>
                                <w:rFonts w:ascii="Arial" w:eastAsia="等线" w:hAnsi="Arial" w:cs="Arial"/>
                                <w:b/>
                                <w:sz w:val="20"/>
                                <w:szCs w:val="20"/>
                                <w:lang w:eastAsia="zh-CN"/>
                              </w:rPr>
                            </w:pPr>
                            <w:r w:rsidRPr="00685C3F">
                              <w:rPr>
                                <w:rFonts w:ascii="Arial" w:eastAsia="等线" w:hAnsi="Arial" w:cs="Arial"/>
                                <w:b/>
                                <w:sz w:val="20"/>
                                <w:szCs w:val="20"/>
                                <w:lang w:eastAsia="zh-CN"/>
                              </w:rPr>
                              <w:t>Q1: Whether the current specification enables a RRC CONNECTED UE remains connected, while observing the change of NCGI, and no change to the PCI?</w:t>
                            </w:r>
                          </w:p>
                          <w:p w14:paraId="3E9D869B" w14:textId="77777777" w:rsidR="00AC421A" w:rsidRPr="00685C3F" w:rsidRDefault="00AC421A" w:rsidP="00805148">
                            <w:pPr>
                              <w:pStyle w:val="af8"/>
                              <w:numPr>
                                <w:ilvl w:val="0"/>
                                <w:numId w:val="19"/>
                              </w:numPr>
                              <w:rPr>
                                <w:rFonts w:ascii="Arial" w:eastAsia="等线" w:hAnsi="Arial" w:cs="Arial"/>
                                <w:b/>
                                <w:sz w:val="20"/>
                                <w:szCs w:val="20"/>
                                <w:lang w:eastAsia="zh-CN"/>
                              </w:rPr>
                            </w:pPr>
                            <w:r w:rsidRPr="00685C3F">
                              <w:rPr>
                                <w:rFonts w:ascii="Arial" w:eastAsia="等线" w:hAnsi="Arial" w:cs="Arial"/>
                                <w:b/>
                                <w:sz w:val="20"/>
                                <w:szCs w:val="20"/>
                                <w:lang w:eastAsia="zh-CN"/>
                              </w:rPr>
                              <w:t>Q2: is it possible to use same PCI for cell1 and cell2, and support the HO from cell1 to cell2 without new impact to the UE (e.g. a legacy UE)?</w:t>
                            </w:r>
                          </w:p>
                          <w:p w14:paraId="3C41C4EC" w14:textId="77777777" w:rsidR="00AC421A" w:rsidRPr="00685C3F" w:rsidRDefault="00AC421A" w:rsidP="00805148">
                            <w:pPr>
                              <w:pStyle w:val="af8"/>
                              <w:numPr>
                                <w:ilvl w:val="0"/>
                                <w:numId w:val="19"/>
                              </w:numPr>
                              <w:snapToGrid w:val="0"/>
                              <w:rPr>
                                <w:rFonts w:ascii="Arial" w:eastAsia="等线" w:hAnsi="Arial" w:cs="Arial"/>
                                <w:b/>
                                <w:sz w:val="20"/>
                                <w:szCs w:val="20"/>
                                <w:lang w:eastAsia="zh-CN"/>
                              </w:rPr>
                            </w:pPr>
                            <w:r w:rsidRPr="00685C3F">
                              <w:rPr>
                                <w:rFonts w:ascii="Arial" w:eastAsia="等线" w:hAnsi="Arial" w:cs="Arial"/>
                                <w:b/>
                                <w:sz w:val="20"/>
                                <w:szCs w:val="20"/>
                                <w:lang w:eastAsia="zh-CN"/>
                              </w:rPr>
                              <w:t>Q3: when cell1 and cell2 use different PCI/NCGI, is it possible to use one set of shared resource, without new impact to the UE?</w:t>
                            </w:r>
                          </w:p>
                          <w:p w14:paraId="422C58B1" w14:textId="77777777" w:rsidR="00AC421A" w:rsidRPr="00685C3F" w:rsidRDefault="00AC421A" w:rsidP="009968CC">
                            <w:pPr>
                              <w:pStyle w:val="afd"/>
                              <w:snapToGrid w:val="0"/>
                              <w:spacing w:after="0" w:afterAutospacing="0"/>
                              <w:rPr>
                                <w:lang w:val="en-GB"/>
                              </w:rPr>
                            </w:pPr>
                            <w:r w:rsidRPr="00685C3F">
                              <w:rPr>
                                <w:rFonts w:ascii="Arial" w:eastAsia="等线" w:hAnsi="Arial" w:cs="Arial"/>
                                <w:sz w:val="20"/>
                                <w:szCs w:val="20"/>
                                <w:lang w:val="en-GB"/>
                              </w:rPr>
                              <w:t>If new impact to the UE is identified, please also indicate in details.</w:t>
                            </w:r>
                          </w:p>
                        </w:txbxContent>
                      </wps:txbx>
                      <wps:bodyPr rot="0" vert="horz" wrap="square" lIns="91440" tIns="45720" rIns="91440" bIns="45720" anchor="t" anchorCtr="0">
                        <a:spAutoFit/>
                      </wps:bodyPr>
                    </wps:wsp>
                  </a:graphicData>
                </a:graphic>
              </wp:inline>
            </w:drawing>
          </mc:Choice>
          <mc:Fallback>
            <w:pict>
              <v:shape w14:anchorId="460C9E2B" id="_x0000_s1027" type="#_x0000_t202" style="width:481.95pt;height:3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">
                <v:textbox style="mso-fit-shape-to-text:t">
                  <w:txbxContent>
                    <w:p w14:paraId="51DE8610" w14:textId="77777777" w:rsidR="00AC421A" w:rsidRPr="00685C3F" w:rsidRDefault="00AC421A" w:rsidP="009968CC">
                      <w:pPr>
                        <w:pStyle w:val="afd"/>
                        <w:snapToGrid w:val="0"/>
                        <w:spacing w:after="0" w:afterAutospacing="0"/>
                        <w:rPr>
                          <w:rFonts w:ascii="Arial" w:eastAsia="等线" w:hAnsi="Arial" w:cs="Arial"/>
                          <w:sz w:val="20"/>
                          <w:szCs w:val="20"/>
                          <w:lang w:val="en-GB"/>
                        </w:rPr>
                      </w:pPr>
                      <w:r w:rsidRPr="00685C3F">
                        <w:rPr>
                          <w:rFonts w:ascii="Arial" w:eastAsia="等线" w:hAnsi="Arial" w:cs="Arial" w:hint="eastAsia"/>
                          <w:sz w:val="20"/>
                          <w:szCs w:val="20"/>
                          <w:lang w:val="en-GB"/>
                        </w:rPr>
                        <w:t>F</w:t>
                      </w:r>
                      <w:r w:rsidRPr="00685C3F">
                        <w:rPr>
                          <w:rFonts w:ascii="Arial" w:eastAsia="等线" w:hAnsi="Arial" w:cs="Arial"/>
                          <w:sz w:val="20"/>
                          <w:szCs w:val="20"/>
                          <w:lang w:val="en-GB"/>
                        </w:rPr>
                        <w:t xml:space="preserve">or </w:t>
                      </w:r>
                      <w:r w:rsidRPr="00685C3F">
                        <w:rPr>
                          <w:rFonts w:ascii="Arial" w:eastAsia="等线" w:hAnsi="Arial" w:cs="Arial"/>
                          <w:b/>
                          <w:sz w:val="20"/>
                          <w:szCs w:val="20"/>
                          <w:lang w:val="en-GB"/>
                        </w:rPr>
                        <w:t>Alt2</w:t>
                      </w:r>
                      <w:r w:rsidRPr="00685C3F">
                        <w:rPr>
                          <w:rFonts w:ascii="Arial" w:eastAsia="等线" w:hAnsi="Arial" w:cs="Arial"/>
                          <w:sz w:val="20"/>
                          <w:szCs w:val="20"/>
                          <w:lang w:val="en-GB"/>
                        </w:rPr>
                        <w:t xml:space="preserve">, RAN3 also has some concrete questions w.r.t., PCI/NCGI, i.e., </w:t>
                      </w:r>
                    </w:p>
                    <w:p w14:paraId="60C9F3DE" w14:textId="77777777" w:rsidR="00AC421A" w:rsidRPr="00685C3F" w:rsidRDefault="00AC421A" w:rsidP="00805148">
                      <w:pPr>
                        <w:pStyle w:val="af8"/>
                        <w:numPr>
                          <w:ilvl w:val="0"/>
                          <w:numId w:val="19"/>
                        </w:numPr>
                        <w:rPr>
                          <w:rFonts w:ascii="Arial" w:eastAsia="等线" w:hAnsi="Arial" w:cs="Arial"/>
                          <w:b/>
                          <w:sz w:val="20"/>
                          <w:szCs w:val="20"/>
                          <w:lang w:eastAsia="zh-CN"/>
                        </w:rPr>
                      </w:pPr>
                      <w:r w:rsidRPr="00685C3F">
                        <w:rPr>
                          <w:rFonts w:ascii="Arial" w:eastAsia="等线" w:hAnsi="Arial" w:cs="Arial"/>
                          <w:b/>
                          <w:sz w:val="20"/>
                          <w:szCs w:val="20"/>
                          <w:lang w:eastAsia="zh-CN"/>
                        </w:rPr>
                        <w:t>Q1: Whether the current specification enables a RRC CONNECTED UE remains connected, while observing the change of NCGI, and no change to the PCI?</w:t>
                      </w:r>
                    </w:p>
                    <w:p w14:paraId="3E9D869B" w14:textId="77777777" w:rsidR="00AC421A" w:rsidRPr="00685C3F" w:rsidRDefault="00AC421A" w:rsidP="00805148">
                      <w:pPr>
                        <w:pStyle w:val="af8"/>
                        <w:numPr>
                          <w:ilvl w:val="0"/>
                          <w:numId w:val="19"/>
                        </w:numPr>
                        <w:rPr>
                          <w:rFonts w:ascii="Arial" w:eastAsia="等线" w:hAnsi="Arial" w:cs="Arial"/>
                          <w:b/>
                          <w:sz w:val="20"/>
                          <w:szCs w:val="20"/>
                          <w:lang w:eastAsia="zh-CN"/>
                        </w:rPr>
                      </w:pPr>
                      <w:r w:rsidRPr="00685C3F">
                        <w:rPr>
                          <w:rFonts w:ascii="Arial" w:eastAsia="等线" w:hAnsi="Arial" w:cs="Arial"/>
                          <w:b/>
                          <w:sz w:val="20"/>
                          <w:szCs w:val="20"/>
                          <w:lang w:eastAsia="zh-CN"/>
                        </w:rPr>
                        <w:t>Q2: is it possible to use same PCI for cell1 and cell2, and support the HO from cell1 to cell2 without new impact to the UE (e.g. a legacy UE)?</w:t>
                      </w:r>
                    </w:p>
                    <w:p w14:paraId="3C41C4EC" w14:textId="77777777" w:rsidR="00AC421A" w:rsidRPr="00685C3F" w:rsidRDefault="00AC421A" w:rsidP="00805148">
                      <w:pPr>
                        <w:pStyle w:val="af8"/>
                        <w:numPr>
                          <w:ilvl w:val="0"/>
                          <w:numId w:val="19"/>
                        </w:numPr>
                        <w:snapToGrid w:val="0"/>
                        <w:rPr>
                          <w:rFonts w:ascii="Arial" w:eastAsia="等线" w:hAnsi="Arial" w:cs="Arial"/>
                          <w:b/>
                          <w:sz w:val="20"/>
                          <w:szCs w:val="20"/>
                          <w:lang w:eastAsia="zh-CN"/>
                        </w:rPr>
                      </w:pPr>
                      <w:r w:rsidRPr="00685C3F">
                        <w:rPr>
                          <w:rFonts w:ascii="Arial" w:eastAsia="等线" w:hAnsi="Arial" w:cs="Arial"/>
                          <w:b/>
                          <w:sz w:val="20"/>
                          <w:szCs w:val="20"/>
                          <w:lang w:eastAsia="zh-CN"/>
                        </w:rPr>
                        <w:t>Q3: when cell1 and cell2 use different PCI/NCGI, is it possible to use one set of shared resource, without new impact to the UE?</w:t>
                      </w:r>
                    </w:p>
                    <w:p w14:paraId="422C58B1" w14:textId="77777777" w:rsidR="00AC421A" w:rsidRPr="00685C3F" w:rsidRDefault="00AC421A" w:rsidP="009968CC">
                      <w:pPr>
                        <w:pStyle w:val="afd"/>
                        <w:snapToGrid w:val="0"/>
                        <w:spacing w:after="0" w:afterAutospacing="0"/>
                        <w:rPr>
                          <w:lang w:val="en-GB"/>
                        </w:rPr>
                      </w:pPr>
                      <w:r w:rsidRPr="00685C3F">
                        <w:rPr>
                          <w:rFonts w:ascii="Arial" w:eastAsia="等线" w:hAnsi="Arial" w:cs="Arial"/>
                          <w:sz w:val="20"/>
                          <w:szCs w:val="20"/>
                          <w:lang w:val="en-GB"/>
                        </w:rPr>
                        <w:t>If new impact to the UE is identified, please also indicate in details.</w:t>
                      </w:r>
                    </w:p>
                  </w:txbxContent>
                </v:textbox>
                <w10:anchorlock/>
              </v:shape>
            </w:pict>
          </mc:Fallback>
        </mc:AlternateContent>
      </w:r>
    </w:p>
    <w:p w14:paraId="15AC7FE1" w14:textId="5FE07492" w:rsidR="00F369F8" w:rsidRDefault="00B63401" w:rsidP="0036760D">
      <w:pPr>
        <w:rPr>
          <w:rFonts w:ascii="Times New Roman" w:hAnsi="Times New Roman"/>
        </w:rPr>
      </w:pPr>
      <w:r>
        <w:rPr>
          <w:rFonts w:ascii="Times New Roman" w:hAnsi="Times New Roman"/>
        </w:rPr>
        <w:t>F</w:t>
      </w:r>
      <w:r w:rsidR="004C31C3">
        <w:rPr>
          <w:rFonts w:ascii="Times New Roman" w:hAnsi="Times New Roman"/>
        </w:rPr>
        <w:t xml:space="preserve">or the Q1, since the PCI is not changed, </w:t>
      </w:r>
      <w:r>
        <w:rPr>
          <w:rFonts w:ascii="Times New Roman" w:hAnsi="Times New Roman"/>
        </w:rPr>
        <w:t xml:space="preserve">there seems </w:t>
      </w:r>
      <w:r w:rsidR="00DC366E">
        <w:rPr>
          <w:rFonts w:ascii="Times New Roman" w:hAnsi="Times New Roman"/>
        </w:rPr>
        <w:t xml:space="preserve">to be </w:t>
      </w:r>
      <w:r>
        <w:rPr>
          <w:rFonts w:ascii="Times New Roman" w:hAnsi="Times New Roman"/>
        </w:rPr>
        <w:t xml:space="preserve">no big impact on the RRC CONNECTED UEs except that they will obtain new system information to update the new NCGI. So </w:t>
      </w:r>
      <w:r w:rsidR="009E7066">
        <w:rPr>
          <w:rFonts w:ascii="Times New Roman" w:hAnsi="Times New Roman"/>
        </w:rPr>
        <w:t>it is possible for the RRC connected UEs remain connected, and update the system information</w:t>
      </w:r>
      <w:r>
        <w:rPr>
          <w:rFonts w:ascii="Times New Roman" w:hAnsi="Times New Roman"/>
        </w:rPr>
        <w:t xml:space="preserve"> using the legacy SI update procedures (i.e. UE receives updated system information contains new NCGI based on the indication of SI change from the network node).</w:t>
      </w:r>
      <w:r w:rsidR="00F369F8">
        <w:rPr>
          <w:rFonts w:ascii="Times New Roman" w:hAnsi="Times New Roman"/>
        </w:rPr>
        <w:t xml:space="preserve"> </w:t>
      </w:r>
    </w:p>
    <w:p w14:paraId="15B2951C" w14:textId="77777777" w:rsidR="00FF43F6" w:rsidRDefault="00F369F8" w:rsidP="0036760D">
      <w:pPr>
        <w:rPr>
          <w:rFonts w:ascii="Times New Roman" w:hAnsi="Times New Roman"/>
        </w:rPr>
      </w:pPr>
      <w:r>
        <w:rPr>
          <w:rFonts w:ascii="Times New Roman" w:hAnsi="Times New Roman"/>
        </w:rPr>
        <w:t>However, since</w:t>
      </w:r>
      <w:r w:rsidR="00182C74">
        <w:rPr>
          <w:rFonts w:ascii="Times New Roman" w:hAnsi="Times New Roman"/>
        </w:rPr>
        <w:t xml:space="preserve"> UE</w:t>
      </w:r>
      <w:r w:rsidR="00FF43F6">
        <w:rPr>
          <w:rFonts w:ascii="Times New Roman" w:hAnsi="Times New Roman"/>
        </w:rPr>
        <w:t xml:space="preserve"> served by IAB-node</w:t>
      </w:r>
      <w:r w:rsidR="00182C74">
        <w:rPr>
          <w:rFonts w:ascii="Times New Roman" w:hAnsi="Times New Roman"/>
        </w:rPr>
        <w:t xml:space="preserve"> needs to </w:t>
      </w:r>
      <w:r>
        <w:rPr>
          <w:rFonts w:ascii="Times New Roman" w:hAnsi="Times New Roman"/>
        </w:rPr>
        <w:t>connect the</w:t>
      </w:r>
      <w:r w:rsidR="00182C74">
        <w:rPr>
          <w:rFonts w:ascii="Times New Roman" w:hAnsi="Times New Roman"/>
        </w:rPr>
        <w:t xml:space="preserve"> target CU</w:t>
      </w:r>
      <w:r w:rsidR="00FF43F6">
        <w:rPr>
          <w:rFonts w:ascii="Times New Roman" w:hAnsi="Times New Roman"/>
        </w:rPr>
        <w:t xml:space="preserve"> (IAB-donor-CU 2 in the figure 1) after the full migration, the security key used by the UE should be updated. For legacy UEs, the key change relies on the handover procedure</w:t>
      </w:r>
      <w:r w:rsidR="0012265D">
        <w:rPr>
          <w:rFonts w:ascii="Times New Roman" w:hAnsi="Times New Roman"/>
        </w:rPr>
        <w:t>.</w:t>
      </w:r>
      <w:r w:rsidR="00FF43F6">
        <w:rPr>
          <w:rFonts w:ascii="Times New Roman" w:hAnsi="Times New Roman"/>
        </w:rPr>
        <w:t xml:space="preserve"> </w:t>
      </w:r>
      <w:r w:rsidR="0012265D">
        <w:rPr>
          <w:rFonts w:ascii="Times New Roman" w:hAnsi="Times New Roman"/>
        </w:rPr>
        <w:t>S</w:t>
      </w:r>
      <w:r w:rsidR="00FF43F6">
        <w:rPr>
          <w:rFonts w:ascii="Times New Roman" w:hAnsi="Times New Roman"/>
        </w:rPr>
        <w:t xml:space="preserve">o in the full migration scenario, </w:t>
      </w:r>
      <w:bookmarkStart w:id="8" w:name="OLE_LINK37"/>
      <w:r w:rsidR="00FF43F6">
        <w:rPr>
          <w:rFonts w:ascii="Times New Roman" w:hAnsi="Times New Roman"/>
        </w:rPr>
        <w:t>it is impossible for a legacy UE to connect the target CU just reusing SI update procedure without performing HO</w:t>
      </w:r>
      <w:bookmarkEnd w:id="8"/>
      <w:r w:rsidR="0012265D">
        <w:rPr>
          <w:rFonts w:ascii="Times New Roman" w:hAnsi="Times New Roman"/>
        </w:rPr>
        <w:t>.</w:t>
      </w:r>
      <w:r w:rsidR="00FF43F6">
        <w:rPr>
          <w:rFonts w:ascii="Times New Roman" w:hAnsi="Times New Roman"/>
        </w:rPr>
        <w:t xml:space="preserve"> </w:t>
      </w:r>
    </w:p>
    <w:p w14:paraId="7F0F19C0" w14:textId="5346C764" w:rsidR="0012265D" w:rsidRPr="0012265D" w:rsidRDefault="0012265D" w:rsidP="0036760D">
      <w:pPr>
        <w:rPr>
          <w:rFonts w:ascii="Times New Roman" w:hAnsi="Times New Roman"/>
          <w:b/>
        </w:rPr>
      </w:pPr>
      <w:r w:rsidRPr="0012265D">
        <w:rPr>
          <w:rFonts w:ascii="Times New Roman" w:hAnsi="Times New Roman"/>
          <w:b/>
        </w:rPr>
        <w:t xml:space="preserve">Observation 1: </w:t>
      </w:r>
      <w:r>
        <w:rPr>
          <w:rFonts w:ascii="Times New Roman" w:hAnsi="Times New Roman"/>
          <w:b/>
        </w:rPr>
        <w:t xml:space="preserve">For Q1, </w:t>
      </w:r>
      <w:r w:rsidRPr="0012265D">
        <w:rPr>
          <w:rFonts w:ascii="Times New Roman" w:hAnsi="Times New Roman"/>
          <w:b/>
        </w:rPr>
        <w:t>it is possible for the RRC connected UEs remain connected, and update the system information using the legacy SI update procedures</w:t>
      </w:r>
      <w:r>
        <w:rPr>
          <w:rFonts w:ascii="Times New Roman" w:hAnsi="Times New Roman"/>
          <w:b/>
        </w:rPr>
        <w:t xml:space="preserve">. But </w:t>
      </w:r>
      <w:r w:rsidR="00CB7B22">
        <w:rPr>
          <w:rFonts w:ascii="Times New Roman" w:hAnsi="Times New Roman"/>
          <w:b/>
        </w:rPr>
        <w:t xml:space="preserve">considering the </w:t>
      </w:r>
      <w:r w:rsidR="00825F97">
        <w:rPr>
          <w:rFonts w:ascii="Times New Roman" w:hAnsi="Times New Roman"/>
          <w:b/>
        </w:rPr>
        <w:t xml:space="preserve">need of </w:t>
      </w:r>
      <w:r w:rsidR="00CB7B22">
        <w:rPr>
          <w:rFonts w:ascii="Times New Roman" w:hAnsi="Times New Roman"/>
          <w:b/>
        </w:rPr>
        <w:t>security key update</w:t>
      </w:r>
      <w:r w:rsidR="00825F97">
        <w:rPr>
          <w:rFonts w:ascii="Times New Roman" w:hAnsi="Times New Roman"/>
          <w:b/>
        </w:rPr>
        <w:t xml:space="preserve"> for inter-CU migration</w:t>
      </w:r>
      <w:r w:rsidR="00CB7B22">
        <w:rPr>
          <w:rFonts w:ascii="Times New Roman" w:hAnsi="Times New Roman"/>
          <w:b/>
        </w:rPr>
        <w:t xml:space="preserve">, </w:t>
      </w:r>
      <w:r w:rsidRPr="0012265D">
        <w:rPr>
          <w:rFonts w:ascii="Times New Roman" w:hAnsi="Times New Roman"/>
          <w:b/>
        </w:rPr>
        <w:t>it is impossible for a legacy UE to connect the target CU just reusing SI update procedure without performing HO</w:t>
      </w:r>
      <w:r>
        <w:rPr>
          <w:rFonts w:ascii="Times New Roman" w:hAnsi="Times New Roman"/>
          <w:b/>
        </w:rPr>
        <w:t xml:space="preserve"> </w:t>
      </w:r>
      <w:bookmarkStart w:id="9" w:name="OLE_LINK38"/>
      <w:r>
        <w:rPr>
          <w:rFonts w:ascii="Times New Roman" w:hAnsi="Times New Roman"/>
          <w:b/>
        </w:rPr>
        <w:t>for the full migration case</w:t>
      </w:r>
      <w:bookmarkEnd w:id="9"/>
      <w:r>
        <w:rPr>
          <w:rFonts w:ascii="Times New Roman" w:hAnsi="Times New Roman"/>
          <w:b/>
        </w:rPr>
        <w:t>.</w:t>
      </w:r>
    </w:p>
    <w:p w14:paraId="015BDF01" w14:textId="77777777" w:rsidR="003140EF" w:rsidRDefault="00B63401" w:rsidP="0036760D">
      <w:pPr>
        <w:rPr>
          <w:rFonts w:ascii="Times New Roman" w:hAnsi="Times New Roman"/>
        </w:rPr>
      </w:pPr>
      <w:r>
        <w:rPr>
          <w:rFonts w:ascii="Times New Roman" w:hAnsi="Times New Roman"/>
        </w:rPr>
        <w:t>For the Q2</w:t>
      </w:r>
      <w:r w:rsidR="0069762D">
        <w:rPr>
          <w:rFonts w:ascii="Times New Roman" w:hAnsi="Times New Roman"/>
        </w:rPr>
        <w:t xml:space="preserve"> and Q3</w:t>
      </w:r>
      <w:r>
        <w:rPr>
          <w:rFonts w:ascii="Times New Roman" w:hAnsi="Times New Roman"/>
        </w:rPr>
        <w:t>,</w:t>
      </w:r>
      <w:r w:rsidR="0069762D">
        <w:rPr>
          <w:rFonts w:ascii="Times New Roman" w:hAnsi="Times New Roman"/>
        </w:rPr>
        <w:t xml:space="preserve"> the difference is whether the PCI is change or not. However,</w:t>
      </w:r>
      <w:r>
        <w:rPr>
          <w:rFonts w:ascii="Times New Roman" w:hAnsi="Times New Roman"/>
        </w:rPr>
        <w:t xml:space="preserve"> </w:t>
      </w:r>
      <w:r w:rsidR="008030BF">
        <w:rPr>
          <w:rFonts w:ascii="Times New Roman" w:hAnsi="Times New Roman"/>
        </w:rPr>
        <w:t xml:space="preserve">if a legacy UE needs to </w:t>
      </w:r>
      <w:r w:rsidR="008030BF" w:rsidRPr="008030BF">
        <w:rPr>
          <w:rFonts w:ascii="Times New Roman" w:hAnsi="Times New Roman"/>
          <w:b/>
          <w:u w:val="single"/>
        </w:rPr>
        <w:t>perform HO</w:t>
      </w:r>
      <w:r w:rsidR="008030BF">
        <w:rPr>
          <w:rFonts w:ascii="Times New Roman" w:hAnsi="Times New Roman"/>
        </w:rPr>
        <w:t xml:space="preserve"> from the cell 1 to cell 2, as we analyzed in the section 2.1.2, the key </w:t>
      </w:r>
      <w:r w:rsidR="009F5C28">
        <w:rPr>
          <w:rFonts w:ascii="Times New Roman" w:hAnsi="Times New Roman"/>
        </w:rPr>
        <w:t>technical issues</w:t>
      </w:r>
      <w:r w:rsidR="008030BF">
        <w:rPr>
          <w:rFonts w:ascii="Times New Roman" w:hAnsi="Times New Roman"/>
        </w:rPr>
        <w:t xml:space="preserve"> </w:t>
      </w:r>
      <w:r w:rsidR="009F5C28">
        <w:rPr>
          <w:rFonts w:ascii="Times New Roman" w:hAnsi="Times New Roman"/>
        </w:rPr>
        <w:t xml:space="preserve">for UE’s HO </w:t>
      </w:r>
      <w:r w:rsidR="00B37E74">
        <w:rPr>
          <w:rFonts w:ascii="Times New Roman" w:hAnsi="Times New Roman"/>
        </w:rPr>
        <w:t>are the following two</w:t>
      </w:r>
      <w:r w:rsidR="0069762D">
        <w:rPr>
          <w:rFonts w:ascii="Times New Roman" w:hAnsi="Times New Roman"/>
        </w:rPr>
        <w:t>, regardless of whether the PCI is same or different for the two cells</w:t>
      </w:r>
      <w:r w:rsidR="009F5C28">
        <w:rPr>
          <w:rFonts w:ascii="Times New Roman" w:hAnsi="Times New Roman"/>
        </w:rPr>
        <w:t>:</w:t>
      </w:r>
      <w:r w:rsidR="00B37E74">
        <w:rPr>
          <w:rFonts w:ascii="Times New Roman" w:hAnsi="Times New Roman"/>
        </w:rPr>
        <w:t xml:space="preserve"> </w:t>
      </w:r>
    </w:p>
    <w:p w14:paraId="3C86CD68" w14:textId="77777777" w:rsidR="00B63401" w:rsidRPr="0069762D" w:rsidRDefault="00B37E74" w:rsidP="00805148">
      <w:pPr>
        <w:pStyle w:val="af8"/>
        <w:numPr>
          <w:ilvl w:val="0"/>
          <w:numId w:val="24"/>
        </w:numPr>
        <w:spacing w:beforeLines="50" w:before="120"/>
        <w:rPr>
          <w:rFonts w:ascii="Times New Roman" w:hAnsi="Times New Roman"/>
          <w:sz w:val="20"/>
        </w:rPr>
      </w:pPr>
      <w:r w:rsidRPr="0069762D">
        <w:rPr>
          <w:rFonts w:ascii="Times New Roman" w:hAnsi="Times New Roman"/>
          <w:sz w:val="20"/>
          <w:u w:val="single"/>
          <w:lang w:val="en-GB"/>
        </w:rPr>
        <w:t>W</w:t>
      </w:r>
      <w:r w:rsidR="009F5C28" w:rsidRPr="0069762D">
        <w:rPr>
          <w:rFonts w:ascii="Times New Roman" w:hAnsi="Times New Roman"/>
          <w:sz w:val="20"/>
          <w:u w:val="single"/>
          <w:lang w:val="en-GB"/>
        </w:rPr>
        <w:t>hen the IAB-DU switch from cell 1 to cell 2 (</w:t>
      </w:r>
      <w:r w:rsidR="0069762D" w:rsidRPr="0069762D">
        <w:rPr>
          <w:rFonts w:ascii="Times New Roman" w:hAnsi="Times New Roman"/>
          <w:sz w:val="20"/>
          <w:u w:val="single"/>
          <w:lang w:val="en-GB"/>
        </w:rPr>
        <w:t>e.g. how to ensure all the required HO commands are sent before switching</w:t>
      </w:r>
      <w:r w:rsidR="009F5C28" w:rsidRPr="0069762D">
        <w:rPr>
          <w:rFonts w:ascii="Times New Roman" w:hAnsi="Times New Roman"/>
          <w:sz w:val="20"/>
          <w:u w:val="single"/>
        </w:rPr>
        <w:t>)</w:t>
      </w:r>
      <w:r w:rsidRPr="0069762D">
        <w:rPr>
          <w:rFonts w:ascii="Times New Roman" w:hAnsi="Times New Roman"/>
          <w:sz w:val="20"/>
          <w:u w:val="single"/>
        </w:rPr>
        <w:t>?</w:t>
      </w:r>
      <w:r w:rsidR="0069762D" w:rsidRPr="0069762D">
        <w:rPr>
          <w:rFonts w:ascii="Times New Roman" w:hAnsi="Times New Roman"/>
          <w:sz w:val="20"/>
        </w:rPr>
        <w:t xml:space="preserve"> Although the PCIs may be unchanged regarding to Q2, there are still some other cell specific configurations, which </w:t>
      </w:r>
      <w:r w:rsidR="00AB0A53">
        <w:rPr>
          <w:rFonts w:ascii="Times New Roman" w:hAnsi="Times New Roman"/>
          <w:sz w:val="20"/>
        </w:rPr>
        <w:t>could</w:t>
      </w:r>
      <w:r w:rsidR="0069762D" w:rsidRPr="0069762D">
        <w:rPr>
          <w:rFonts w:ascii="Times New Roman" w:hAnsi="Times New Roman"/>
          <w:sz w:val="20"/>
        </w:rPr>
        <w:t xml:space="preserve"> be different between the cell 1 and cell 2, e.g. the RACH resource, the D/U/F configuration and the H/S/NA attributes, etc.</w:t>
      </w:r>
    </w:p>
    <w:p w14:paraId="1A82D06C" w14:textId="77777777" w:rsidR="003140EF" w:rsidRPr="0069762D" w:rsidRDefault="0069762D" w:rsidP="00805148">
      <w:pPr>
        <w:pStyle w:val="af8"/>
        <w:numPr>
          <w:ilvl w:val="0"/>
          <w:numId w:val="24"/>
        </w:numPr>
        <w:spacing w:beforeLines="50" w:before="120"/>
        <w:rPr>
          <w:rFonts w:ascii="Times New Roman" w:hAnsi="Times New Roman"/>
          <w:sz w:val="20"/>
          <w:u w:val="single"/>
          <w:lang w:val="en-GB"/>
        </w:rPr>
      </w:pPr>
      <w:r w:rsidRPr="0069762D">
        <w:rPr>
          <w:rFonts w:ascii="Times New Roman" w:hAnsi="Times New Roman"/>
          <w:sz w:val="20"/>
          <w:u w:val="single"/>
          <w:lang w:val="en-GB"/>
        </w:rPr>
        <w:t>Since child MTs/UEs of the boundary node receive the HO command before boundary IAB-DU switching (i.e. target RACH configuration is not ready yet), child MTs/UEs is not able to perform RA to the target cell of the target logical DU</w:t>
      </w:r>
      <w:r w:rsidRPr="0069762D">
        <w:rPr>
          <w:rFonts w:ascii="Times New Roman" w:hAnsi="Times New Roman"/>
          <w:sz w:val="20"/>
          <w:lang w:val="en-GB"/>
        </w:rPr>
        <w:t>.</w:t>
      </w:r>
    </w:p>
    <w:p w14:paraId="278282AC" w14:textId="5597BDD8" w:rsidR="00AB0A53" w:rsidRDefault="00AB0A53" w:rsidP="00AB0A53">
      <w:pPr>
        <w:spacing w:beforeLines="50" w:before="120" w:after="0"/>
        <w:rPr>
          <w:rFonts w:ascii="Times New Roman" w:hAnsi="Times New Roman"/>
          <w:b/>
        </w:rPr>
      </w:pPr>
      <w:r>
        <w:rPr>
          <w:rFonts w:ascii="Times New Roman" w:hAnsi="Times New Roman"/>
          <w:b/>
        </w:rPr>
        <w:t xml:space="preserve">Observation 2: </w:t>
      </w:r>
      <w:r w:rsidRPr="00AB0A53">
        <w:rPr>
          <w:rFonts w:ascii="Times New Roman" w:hAnsi="Times New Roman"/>
          <w:b/>
        </w:rPr>
        <w:t>Although the PCIs may be unchanged, there are still some other cell specific configurations</w:t>
      </w:r>
      <w:r w:rsidR="005E4B33">
        <w:rPr>
          <w:rFonts w:ascii="Times New Roman" w:hAnsi="Times New Roman"/>
          <w:b/>
        </w:rPr>
        <w:t xml:space="preserve"> to be </w:t>
      </w:r>
      <w:r w:rsidRPr="00AB0A53">
        <w:rPr>
          <w:rFonts w:ascii="Times New Roman" w:hAnsi="Times New Roman"/>
          <w:b/>
        </w:rPr>
        <w:t>different between the cell 1 and cell 2, e.g. the RACH resource</w:t>
      </w:r>
      <w:r w:rsidR="005E4B33">
        <w:rPr>
          <w:rFonts w:ascii="Times New Roman" w:hAnsi="Times New Roman"/>
          <w:b/>
        </w:rPr>
        <w:t xml:space="preserve"> configuration</w:t>
      </w:r>
      <w:r w:rsidRPr="00AB0A53">
        <w:rPr>
          <w:rFonts w:ascii="Times New Roman" w:hAnsi="Times New Roman"/>
          <w:b/>
        </w:rPr>
        <w:t>, the D/U/F configuration and the H/S/NA attributes, etc.</w:t>
      </w:r>
      <w:r w:rsidR="00F244EA">
        <w:rPr>
          <w:rFonts w:ascii="Times New Roman" w:hAnsi="Times New Roman"/>
          <w:b/>
        </w:rPr>
        <w:t xml:space="preserve"> Thus, it may be not possible that the target logical DU use the same physical resource configuration as the source logical DU.</w:t>
      </w:r>
    </w:p>
    <w:p w14:paraId="54DBC63E" w14:textId="2C6FC357" w:rsidR="0069762D" w:rsidRPr="0069762D" w:rsidRDefault="0069762D" w:rsidP="0069762D">
      <w:pPr>
        <w:spacing w:beforeLines="50" w:before="120"/>
        <w:rPr>
          <w:rFonts w:ascii="Times New Roman" w:hAnsi="Times New Roman"/>
          <w:b/>
        </w:rPr>
      </w:pPr>
      <w:r w:rsidRPr="0069762D">
        <w:rPr>
          <w:rFonts w:ascii="Times New Roman" w:hAnsi="Times New Roman"/>
          <w:b/>
        </w:rPr>
        <w:t xml:space="preserve">Observation </w:t>
      </w:r>
      <w:r w:rsidR="00AB0A53">
        <w:rPr>
          <w:rFonts w:ascii="Times New Roman" w:hAnsi="Times New Roman"/>
          <w:b/>
        </w:rPr>
        <w:t>3</w:t>
      </w:r>
      <w:r w:rsidRPr="0069762D">
        <w:rPr>
          <w:rFonts w:ascii="Times New Roman" w:hAnsi="Times New Roman"/>
          <w:b/>
        </w:rPr>
        <w:t>:</w:t>
      </w:r>
      <w:r>
        <w:rPr>
          <w:rFonts w:ascii="Times New Roman" w:hAnsi="Times New Roman"/>
          <w:b/>
        </w:rPr>
        <w:t xml:space="preserve"> For Q2 and Q3</w:t>
      </w:r>
      <w:r w:rsidR="000152F2">
        <w:rPr>
          <w:rFonts w:ascii="Times New Roman" w:hAnsi="Times New Roman"/>
          <w:b/>
        </w:rPr>
        <w:t xml:space="preserve"> in </w:t>
      </w:r>
      <w:r w:rsidR="000152F2" w:rsidRPr="000152F2">
        <w:rPr>
          <w:rFonts w:ascii="Times New Roman" w:hAnsi="Times New Roman"/>
          <w:b/>
        </w:rPr>
        <w:t>R3-212981</w:t>
      </w:r>
      <w:r>
        <w:rPr>
          <w:rFonts w:ascii="Times New Roman" w:hAnsi="Times New Roman"/>
          <w:b/>
        </w:rPr>
        <w:t>, the</w:t>
      </w:r>
      <w:r w:rsidRPr="0069762D">
        <w:rPr>
          <w:rFonts w:ascii="Times New Roman" w:hAnsi="Times New Roman"/>
          <w:b/>
        </w:rPr>
        <w:t xml:space="preserve"> key technical issues for UE’s HO are</w:t>
      </w:r>
      <w:r>
        <w:rPr>
          <w:rFonts w:ascii="Times New Roman" w:hAnsi="Times New Roman"/>
          <w:b/>
        </w:rPr>
        <w:t xml:space="preserve"> the technical issue 3 and 4 for the alt 2</w:t>
      </w:r>
      <w:r w:rsidR="005E4B33">
        <w:rPr>
          <w:rFonts w:ascii="Times New Roman" w:hAnsi="Times New Roman"/>
          <w:b/>
        </w:rPr>
        <w:t xml:space="preserve"> in proposal 3</w:t>
      </w:r>
      <w:r>
        <w:rPr>
          <w:rFonts w:ascii="Times New Roman" w:hAnsi="Times New Roman"/>
          <w:b/>
        </w:rPr>
        <w:t xml:space="preserve">, </w:t>
      </w:r>
      <w:r w:rsidRPr="0069762D">
        <w:rPr>
          <w:rFonts w:ascii="Times New Roman" w:hAnsi="Times New Roman"/>
          <w:b/>
        </w:rPr>
        <w:t>regardless of whether the PCI is same or different for the two cells</w:t>
      </w:r>
      <w:r>
        <w:rPr>
          <w:rFonts w:ascii="Times New Roman" w:hAnsi="Times New Roman"/>
          <w:b/>
        </w:rPr>
        <w:t>.</w:t>
      </w:r>
    </w:p>
    <w:p w14:paraId="0E51167D" w14:textId="6DE60667" w:rsidR="0036760D" w:rsidRPr="00E73B7E" w:rsidRDefault="006601A7" w:rsidP="0036760D">
      <w:pPr>
        <w:rPr>
          <w:rFonts w:ascii="Times New Roman" w:hAnsi="Times New Roman"/>
          <w:b/>
        </w:rPr>
      </w:pPr>
      <w:r w:rsidRPr="00E73B7E">
        <w:rPr>
          <w:rFonts w:ascii="Times New Roman" w:hAnsi="Times New Roman"/>
          <w:b/>
        </w:rPr>
        <w:t xml:space="preserve">Proposal </w:t>
      </w:r>
      <w:r w:rsidR="00CA759B">
        <w:rPr>
          <w:rFonts w:ascii="Times New Roman" w:hAnsi="Times New Roman"/>
          <w:b/>
        </w:rPr>
        <w:t>4</w:t>
      </w:r>
      <w:r w:rsidR="005B1286">
        <w:rPr>
          <w:rFonts w:ascii="Times New Roman" w:hAnsi="Times New Roman"/>
          <w:b/>
        </w:rPr>
        <w:t>: For Q1/2/3 of A</w:t>
      </w:r>
      <w:r w:rsidR="0036760D" w:rsidRPr="00E73B7E">
        <w:rPr>
          <w:rFonts w:ascii="Times New Roman" w:hAnsi="Times New Roman"/>
          <w:b/>
        </w:rPr>
        <w:t>lt2 in the R3 LS</w:t>
      </w:r>
      <w:r w:rsidRPr="00E73B7E">
        <w:rPr>
          <w:rFonts w:ascii="Times New Roman" w:hAnsi="Times New Roman"/>
          <w:b/>
        </w:rPr>
        <w:t xml:space="preserve"> R3-212981</w:t>
      </w:r>
      <w:r w:rsidR="005520C0" w:rsidRPr="00E73B7E">
        <w:rPr>
          <w:rFonts w:ascii="Times New Roman" w:hAnsi="Times New Roman"/>
          <w:b/>
        </w:rPr>
        <w:t>, RAN2 provides the following feedback</w:t>
      </w:r>
      <w:r w:rsidR="0036760D" w:rsidRPr="00E73B7E">
        <w:rPr>
          <w:rFonts w:ascii="Times New Roman" w:hAnsi="Times New Roman"/>
          <w:b/>
        </w:rPr>
        <w:t>:</w:t>
      </w:r>
    </w:p>
    <w:p w14:paraId="32F7CB2A" w14:textId="77777777" w:rsidR="005E4B33" w:rsidRDefault="005520C0" w:rsidP="00805148">
      <w:pPr>
        <w:pStyle w:val="af8"/>
        <w:numPr>
          <w:ilvl w:val="0"/>
          <w:numId w:val="25"/>
        </w:numPr>
        <w:spacing w:afterLines="50" w:after="120"/>
        <w:rPr>
          <w:rFonts w:ascii="Times New Roman" w:hAnsi="Times New Roman"/>
          <w:b/>
          <w:sz w:val="20"/>
        </w:rPr>
      </w:pPr>
      <w:r w:rsidRPr="00E73B7E">
        <w:rPr>
          <w:rFonts w:ascii="Times New Roman" w:hAnsi="Times New Roman"/>
          <w:b/>
          <w:sz w:val="20"/>
        </w:rPr>
        <w:t xml:space="preserve">In Alt2, it is possible to keep the PCI unchanged for </w:t>
      </w:r>
      <w:r w:rsidR="00215888" w:rsidRPr="00E73B7E">
        <w:rPr>
          <w:rFonts w:ascii="Times New Roman" w:hAnsi="Times New Roman"/>
          <w:b/>
          <w:sz w:val="20"/>
        </w:rPr>
        <w:t>the cell 1 and cell 2</w:t>
      </w:r>
      <w:r w:rsidRPr="00E73B7E">
        <w:rPr>
          <w:rFonts w:ascii="Times New Roman" w:hAnsi="Times New Roman"/>
          <w:b/>
          <w:sz w:val="20"/>
        </w:rPr>
        <w:t xml:space="preserve">. </w:t>
      </w:r>
    </w:p>
    <w:p w14:paraId="57D86458" w14:textId="713EE8BF" w:rsidR="005520C0" w:rsidRPr="00E73B7E" w:rsidRDefault="005E4B33" w:rsidP="00805148">
      <w:pPr>
        <w:pStyle w:val="af8"/>
        <w:numPr>
          <w:ilvl w:val="0"/>
          <w:numId w:val="25"/>
        </w:numPr>
        <w:spacing w:afterLines="50" w:after="120"/>
        <w:rPr>
          <w:rFonts w:ascii="Times New Roman" w:hAnsi="Times New Roman"/>
          <w:b/>
          <w:sz w:val="20"/>
        </w:rPr>
      </w:pPr>
      <w:r>
        <w:rPr>
          <w:rFonts w:ascii="Times New Roman" w:hAnsi="Times New Roman"/>
          <w:b/>
          <w:sz w:val="20"/>
        </w:rPr>
        <w:t xml:space="preserve">In Alt2, </w:t>
      </w:r>
      <w:r w:rsidR="005520C0" w:rsidRPr="00E73B7E">
        <w:rPr>
          <w:rFonts w:ascii="Times New Roman" w:hAnsi="Times New Roman"/>
          <w:b/>
          <w:sz w:val="20"/>
        </w:rPr>
        <w:t>it is impossible for a legacy UE to connect the target CU without performing HO procedure for the full migration case</w:t>
      </w:r>
      <w:r w:rsidR="00215888" w:rsidRPr="00E73B7E">
        <w:rPr>
          <w:rFonts w:ascii="Times New Roman" w:hAnsi="Times New Roman"/>
          <w:b/>
          <w:sz w:val="20"/>
        </w:rPr>
        <w:t>.</w:t>
      </w:r>
    </w:p>
    <w:p w14:paraId="331DB889" w14:textId="3889888A" w:rsidR="00825F97" w:rsidRPr="008E30C7" w:rsidRDefault="00976AE5" w:rsidP="00805148">
      <w:pPr>
        <w:pStyle w:val="af8"/>
        <w:numPr>
          <w:ilvl w:val="0"/>
          <w:numId w:val="25"/>
        </w:numPr>
        <w:rPr>
          <w:rFonts w:ascii="Times New Roman" w:hAnsi="Times New Roman"/>
          <w:b/>
          <w:sz w:val="20"/>
          <w:szCs w:val="20"/>
        </w:rPr>
      </w:pPr>
      <w:r>
        <w:rPr>
          <w:rFonts w:ascii="Times New Roman" w:hAnsi="Times New Roman"/>
          <w:b/>
          <w:sz w:val="20"/>
          <w:szCs w:val="20"/>
        </w:rPr>
        <w:t>In Alt</w:t>
      </w:r>
      <w:r w:rsidR="00215888" w:rsidRPr="00E73B7E">
        <w:rPr>
          <w:rFonts w:ascii="Times New Roman" w:hAnsi="Times New Roman"/>
          <w:b/>
          <w:sz w:val="20"/>
          <w:szCs w:val="20"/>
        </w:rPr>
        <w:t>2, it is impossible to support legacy U</w:t>
      </w:r>
      <w:r w:rsidR="00367E17" w:rsidRPr="00E73B7E">
        <w:rPr>
          <w:rFonts w:ascii="Times New Roman" w:hAnsi="Times New Roman"/>
          <w:b/>
          <w:sz w:val="20"/>
          <w:szCs w:val="20"/>
        </w:rPr>
        <w:t>E</w:t>
      </w:r>
      <w:r w:rsidR="00215888" w:rsidRPr="00E73B7E">
        <w:rPr>
          <w:rFonts w:ascii="Times New Roman" w:hAnsi="Times New Roman"/>
          <w:b/>
          <w:sz w:val="20"/>
          <w:szCs w:val="20"/>
        </w:rPr>
        <w:t>s’ HO from cell 1 to cell 2, while the two cells using one set of shared resources</w:t>
      </w:r>
      <w:r w:rsidR="00F244EA" w:rsidRPr="00E73B7E">
        <w:rPr>
          <w:rFonts w:ascii="Times New Roman" w:hAnsi="Times New Roman"/>
          <w:b/>
          <w:sz w:val="20"/>
          <w:szCs w:val="20"/>
        </w:rPr>
        <w:t>. There are at least two technical issues to be solved:</w:t>
      </w:r>
      <w:r w:rsidR="00F244EA" w:rsidRPr="00E73B7E">
        <w:rPr>
          <w:b/>
          <w:sz w:val="20"/>
          <w:szCs w:val="20"/>
        </w:rPr>
        <w:t xml:space="preserve"> </w:t>
      </w:r>
    </w:p>
    <w:p w14:paraId="39799E4E" w14:textId="066AEB1B" w:rsidR="00825F97" w:rsidRDefault="00F244EA" w:rsidP="008E30C7">
      <w:pPr>
        <w:pStyle w:val="af8"/>
        <w:numPr>
          <w:ilvl w:val="1"/>
          <w:numId w:val="25"/>
        </w:numPr>
        <w:rPr>
          <w:rFonts w:ascii="Times New Roman" w:hAnsi="Times New Roman"/>
          <w:b/>
          <w:sz w:val="20"/>
          <w:szCs w:val="20"/>
        </w:rPr>
      </w:pPr>
      <w:r w:rsidRPr="00E73B7E">
        <w:rPr>
          <w:rFonts w:ascii="Times New Roman" w:hAnsi="Times New Roman"/>
          <w:b/>
          <w:sz w:val="20"/>
          <w:szCs w:val="20"/>
        </w:rPr>
        <w:t>1)</w:t>
      </w:r>
      <w:r w:rsidRPr="00E73B7E">
        <w:rPr>
          <w:rFonts w:ascii="Times New Roman" w:hAnsi="Times New Roman"/>
          <w:b/>
          <w:sz w:val="20"/>
          <w:szCs w:val="20"/>
        </w:rPr>
        <w:tab/>
        <w:t xml:space="preserve">When the IAB-DU switch from cell 1 to cell 2 (e.g. how to ensure all the required HO commands are sent before </w:t>
      </w:r>
      <w:r w:rsidR="005E4B33">
        <w:rPr>
          <w:rFonts w:ascii="Times New Roman" w:hAnsi="Times New Roman"/>
          <w:b/>
          <w:sz w:val="20"/>
          <w:szCs w:val="20"/>
        </w:rPr>
        <w:t xml:space="preserve">the </w:t>
      </w:r>
      <w:r w:rsidRPr="00E73B7E">
        <w:rPr>
          <w:rFonts w:ascii="Times New Roman" w:hAnsi="Times New Roman"/>
          <w:b/>
          <w:sz w:val="20"/>
          <w:szCs w:val="20"/>
        </w:rPr>
        <w:t xml:space="preserve">switching)?  </w:t>
      </w:r>
    </w:p>
    <w:p w14:paraId="238E60E2" w14:textId="65280690" w:rsidR="00F244EA" w:rsidRPr="00E73B7E" w:rsidRDefault="00F244EA" w:rsidP="008E30C7">
      <w:pPr>
        <w:pStyle w:val="af8"/>
        <w:numPr>
          <w:ilvl w:val="1"/>
          <w:numId w:val="25"/>
        </w:numPr>
        <w:rPr>
          <w:rFonts w:ascii="Times New Roman" w:hAnsi="Times New Roman"/>
          <w:b/>
          <w:sz w:val="20"/>
          <w:szCs w:val="20"/>
        </w:rPr>
      </w:pPr>
      <w:r w:rsidRPr="00E73B7E">
        <w:rPr>
          <w:rFonts w:ascii="Times New Roman" w:hAnsi="Times New Roman"/>
          <w:b/>
          <w:sz w:val="20"/>
          <w:szCs w:val="20"/>
        </w:rPr>
        <w:t>2)</w:t>
      </w:r>
      <w:r w:rsidR="00825F97">
        <w:rPr>
          <w:rFonts w:ascii="Times New Roman" w:hAnsi="Times New Roman"/>
          <w:b/>
          <w:sz w:val="20"/>
          <w:szCs w:val="20"/>
        </w:rPr>
        <w:tab/>
      </w:r>
      <w:r w:rsidRPr="00E73B7E">
        <w:rPr>
          <w:rFonts w:ascii="Times New Roman" w:hAnsi="Times New Roman"/>
          <w:b/>
          <w:sz w:val="20"/>
          <w:szCs w:val="20"/>
        </w:rPr>
        <w:t xml:space="preserve">Since child MTs/UEs of the boundary node receive </w:t>
      </w:r>
      <w:r w:rsidR="005E4B33">
        <w:rPr>
          <w:rFonts w:ascii="Times New Roman" w:hAnsi="Times New Roman"/>
          <w:b/>
          <w:sz w:val="20"/>
          <w:szCs w:val="20"/>
        </w:rPr>
        <w:t>their</w:t>
      </w:r>
      <w:r w:rsidR="005E4B33" w:rsidRPr="00E73B7E">
        <w:rPr>
          <w:rFonts w:ascii="Times New Roman" w:hAnsi="Times New Roman"/>
          <w:b/>
          <w:sz w:val="20"/>
          <w:szCs w:val="20"/>
        </w:rPr>
        <w:t xml:space="preserve"> </w:t>
      </w:r>
      <w:r w:rsidRPr="00E73B7E">
        <w:rPr>
          <w:rFonts w:ascii="Times New Roman" w:hAnsi="Times New Roman"/>
          <w:b/>
          <w:sz w:val="20"/>
          <w:szCs w:val="20"/>
        </w:rPr>
        <w:t>HO command</w:t>
      </w:r>
      <w:r w:rsidR="005E4B33">
        <w:rPr>
          <w:rFonts w:ascii="Times New Roman" w:hAnsi="Times New Roman"/>
          <w:b/>
          <w:sz w:val="20"/>
          <w:szCs w:val="20"/>
        </w:rPr>
        <w:t>s</w:t>
      </w:r>
      <w:r w:rsidRPr="00E73B7E">
        <w:rPr>
          <w:rFonts w:ascii="Times New Roman" w:hAnsi="Times New Roman"/>
          <w:b/>
          <w:sz w:val="20"/>
          <w:szCs w:val="20"/>
        </w:rPr>
        <w:t xml:space="preserve"> before </w:t>
      </w:r>
      <w:r w:rsidR="005E4B33">
        <w:rPr>
          <w:rFonts w:ascii="Times New Roman" w:hAnsi="Times New Roman"/>
          <w:b/>
          <w:sz w:val="20"/>
          <w:szCs w:val="20"/>
        </w:rPr>
        <w:t xml:space="preserve">the </w:t>
      </w:r>
      <w:r w:rsidRPr="00E73B7E">
        <w:rPr>
          <w:rFonts w:ascii="Times New Roman" w:hAnsi="Times New Roman"/>
          <w:b/>
          <w:sz w:val="20"/>
          <w:szCs w:val="20"/>
        </w:rPr>
        <w:t xml:space="preserve">boundary IAB-DU switching (i.e. </w:t>
      </w:r>
      <w:r w:rsidR="005E4B33">
        <w:rPr>
          <w:rFonts w:ascii="Times New Roman" w:hAnsi="Times New Roman"/>
          <w:b/>
          <w:sz w:val="20"/>
          <w:szCs w:val="20"/>
        </w:rPr>
        <w:t xml:space="preserve">when </w:t>
      </w:r>
      <w:r w:rsidRPr="00E73B7E">
        <w:rPr>
          <w:rFonts w:ascii="Times New Roman" w:hAnsi="Times New Roman"/>
          <w:b/>
          <w:sz w:val="20"/>
          <w:szCs w:val="20"/>
        </w:rPr>
        <w:t xml:space="preserve">target configuration is not ready yet), child MTs/UEs </w:t>
      </w:r>
      <w:r w:rsidR="005E4B33">
        <w:rPr>
          <w:rFonts w:ascii="Times New Roman" w:hAnsi="Times New Roman"/>
          <w:b/>
          <w:sz w:val="20"/>
          <w:szCs w:val="20"/>
        </w:rPr>
        <w:t>are</w:t>
      </w:r>
      <w:r w:rsidRPr="00E73B7E">
        <w:rPr>
          <w:rFonts w:ascii="Times New Roman" w:hAnsi="Times New Roman"/>
          <w:b/>
          <w:sz w:val="20"/>
          <w:szCs w:val="20"/>
        </w:rPr>
        <w:t xml:space="preserve"> not able to perform RA</w:t>
      </w:r>
      <w:r w:rsidR="005E4B33">
        <w:rPr>
          <w:rFonts w:ascii="Times New Roman" w:hAnsi="Times New Roman"/>
          <w:b/>
          <w:sz w:val="20"/>
          <w:szCs w:val="20"/>
        </w:rPr>
        <w:t>CH</w:t>
      </w:r>
      <w:r w:rsidRPr="00E73B7E">
        <w:rPr>
          <w:rFonts w:ascii="Times New Roman" w:hAnsi="Times New Roman"/>
          <w:b/>
          <w:sz w:val="20"/>
          <w:szCs w:val="20"/>
        </w:rPr>
        <w:t xml:space="preserve"> to the target cell of the target logical DU.</w:t>
      </w:r>
    </w:p>
    <w:p w14:paraId="28277A92" w14:textId="77777777" w:rsidR="00BF0F64" w:rsidRPr="002B1EAA" w:rsidRDefault="0036760D" w:rsidP="00EB3114">
      <w:pPr>
        <w:pStyle w:val="2"/>
        <w:ind w:left="578" w:hanging="578"/>
      </w:pPr>
      <w:r w:rsidRPr="00EB3114">
        <w:t>Solutions</w:t>
      </w:r>
      <w:r>
        <w:rPr>
          <w:rFonts w:eastAsiaTheme="minorEastAsia"/>
        </w:rPr>
        <w:t xml:space="preserve"> for service interruption reduction in </w:t>
      </w:r>
      <w:r w:rsidRPr="0036760D">
        <w:rPr>
          <w:rFonts w:eastAsiaTheme="minorEastAsia"/>
        </w:rPr>
        <w:t>LS R3-212973</w:t>
      </w:r>
    </w:p>
    <w:p w14:paraId="0D95FCEC" w14:textId="6458A395" w:rsidR="005F2B05" w:rsidRDefault="005F2B05" w:rsidP="005F2B05">
      <w:pPr>
        <w:spacing w:beforeLines="50" w:before="120"/>
        <w:ind w:left="34"/>
        <w:rPr>
          <w:rFonts w:ascii="Times New Roman" w:hAnsi="Times New Roman"/>
          <w:bCs/>
          <w:lang w:val="en-GB"/>
        </w:rPr>
      </w:pPr>
      <w:r w:rsidRPr="005F2B05">
        <w:rPr>
          <w:rFonts w:ascii="Times New Roman" w:hAnsi="Times New Roman"/>
          <w:bCs/>
          <w:lang w:val="en-GB"/>
        </w:rPr>
        <w:t>According to</w:t>
      </w:r>
      <w:r>
        <w:rPr>
          <w:rFonts w:ascii="Times New Roman" w:hAnsi="Times New Roman"/>
          <w:bCs/>
          <w:lang w:val="en-GB"/>
        </w:rPr>
        <w:t xml:space="preserve"> the LS R3-212973 [2] about service interruption reduction</w:t>
      </w:r>
      <w:r w:rsidR="00341F50">
        <w:rPr>
          <w:rFonts w:ascii="Times New Roman" w:hAnsi="Times New Roman"/>
          <w:bCs/>
          <w:lang w:val="en-GB"/>
        </w:rPr>
        <w:t>, the two solutions discussed by RAN3 are:</w:t>
      </w:r>
    </w:p>
    <w:p w14:paraId="378869B0" w14:textId="4F1CB7E9" w:rsidR="00341F50" w:rsidRPr="00341F50" w:rsidRDefault="00341F50" w:rsidP="005F2B05">
      <w:pPr>
        <w:spacing w:beforeLines="50" w:before="120"/>
        <w:ind w:left="34"/>
        <w:rPr>
          <w:rFonts w:ascii="Times New Roman" w:hAnsi="Times New Roman"/>
          <w:bCs/>
          <w:lang w:val="en-GB"/>
        </w:rPr>
      </w:pPr>
      <w:r w:rsidRPr="00900C9A">
        <w:rPr>
          <w:rFonts w:ascii="Times New Roman" w:hAnsi="Times New Roman"/>
          <w:noProof/>
        </w:rPr>
        <mc:AlternateContent>
          <mc:Choice Requires="wps">
            <w:drawing>
              <wp:inline distT="0" distB="0" distL="0" distR="0" wp14:anchorId="1BC83E70" wp14:editId="298BC966">
                <wp:extent cx="6120765" cy="1421130"/>
                <wp:effectExtent l="0" t="0" r="1333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1130"/>
                        </a:xfrm>
                        <a:prstGeom prst="rect">
                          <a:avLst/>
                        </a:prstGeom>
                        <a:solidFill>
                          <a:srgbClr val="FFFFFF"/>
                        </a:solidFill>
                        <a:ln w="9525">
                          <a:solidFill>
                            <a:srgbClr val="000000"/>
                          </a:solidFill>
                          <a:miter lim="800000"/>
                          <a:headEnd/>
                          <a:tailEnd/>
                        </a:ln>
                      </wps:spPr>
                      <wps:txbx>
                        <w:txbxContent>
                          <w:p w14:paraId="492E3B69" w14:textId="77777777" w:rsidR="00AC421A" w:rsidRDefault="00AC421A" w:rsidP="00341F50">
                            <w:pPr>
                              <w:pStyle w:val="afd"/>
                              <w:snapToGrid w:val="0"/>
                              <w:spacing w:before="0" w:beforeAutospacing="0" w:after="120" w:afterAutospacing="0"/>
                              <w:rPr>
                                <w:rFonts w:ascii="Arial" w:eastAsia="等线" w:hAnsi="Arial" w:cs="Arial"/>
                                <w:sz w:val="20"/>
                                <w:szCs w:val="20"/>
                                <w:lang w:val="en-GB"/>
                              </w:rPr>
                            </w:pPr>
                            <w:r>
                              <w:rPr>
                                <w:rFonts w:ascii="Arial" w:eastAsia="等线" w:hAnsi="Arial" w:cs="Arial"/>
                                <w:sz w:val="20"/>
                                <w:szCs w:val="20"/>
                                <w:lang w:val="en-GB"/>
                              </w:rPr>
                              <w:t xml:space="preserve">Solution 1: </w:t>
                            </w:r>
                          </w:p>
                          <w:p w14:paraId="0DAA02F7" w14:textId="77777777" w:rsidR="00AC421A" w:rsidRDefault="00AC421A" w:rsidP="00341F50">
                            <w:pPr>
                              <w:pStyle w:val="afd"/>
                              <w:snapToGrid w:val="0"/>
                              <w:spacing w:before="0" w:beforeAutospacing="0" w:after="120" w:afterAutospacing="0"/>
                              <w:rPr>
                                <w:rFonts w:ascii="Arial" w:eastAsia="等线" w:hAnsi="Arial" w:cs="Arial"/>
                                <w:sz w:val="20"/>
                                <w:szCs w:val="20"/>
                                <w:lang w:val="en-GB"/>
                              </w:rPr>
                            </w:pPr>
                            <w:r>
                              <w:rPr>
                                <w:rFonts w:ascii="Arial" w:eastAsia="等线" w:hAnsi="Arial" w:cs="Arial"/>
                                <w:sz w:val="20"/>
                                <w:szCs w:val="20"/>
                                <w:lang w:val="en-GB"/>
                              </w:rPr>
                              <w:t>The RRCReconfiguration message for TNL migration of a descendent node IAB-MT is withheld by this descendant node’s parent IAB-DU, and it is delivered only when a condition is satisfied. The indication of buffering and conditional delivery may be provided by the IAB-donor-CU to the parent IAB-DU via an F1AP message including the RRCReconfiguration message.  The condition is set so that a sequential delivery and execution of RRCReconfigurations is created downstream.</w:t>
                            </w:r>
                          </w:p>
                          <w:p w14:paraId="1BEA93D5" w14:textId="173BC72E" w:rsidR="00AC421A" w:rsidRDefault="00AC421A" w:rsidP="00341F50">
                            <w:pPr>
                              <w:pStyle w:val="afd"/>
                              <w:snapToGrid w:val="0"/>
                              <w:spacing w:before="0" w:beforeAutospacing="0" w:after="0" w:afterAutospacing="0"/>
                              <w:rPr>
                                <w:rFonts w:ascii="Arial" w:eastAsia="等线" w:hAnsi="Arial" w:cs="Arial"/>
                                <w:sz w:val="20"/>
                                <w:szCs w:val="20"/>
                                <w:lang w:val="en-GB"/>
                              </w:rPr>
                            </w:pPr>
                            <w:r>
                              <w:rPr>
                                <w:rFonts w:ascii="Arial" w:eastAsia="等线" w:hAnsi="Arial" w:cs="Arial"/>
                                <w:sz w:val="20"/>
                                <w:szCs w:val="20"/>
                                <w:lang w:val="en-GB"/>
                              </w:rPr>
                              <w:t>…</w:t>
                            </w:r>
                          </w:p>
                          <w:p w14:paraId="010BBF0D" w14:textId="77777777" w:rsidR="00AC421A" w:rsidRDefault="00AC421A" w:rsidP="00341F50">
                            <w:pPr>
                              <w:pStyle w:val="afd"/>
                              <w:snapToGrid w:val="0"/>
                              <w:spacing w:before="240" w:beforeAutospacing="0" w:after="120" w:afterAutospacing="0"/>
                              <w:rPr>
                                <w:rFonts w:ascii="Arial" w:eastAsia="等线" w:hAnsi="Arial" w:cs="Arial"/>
                                <w:sz w:val="20"/>
                                <w:szCs w:val="20"/>
                                <w:lang w:val="en-GB"/>
                              </w:rPr>
                            </w:pPr>
                            <w:r>
                              <w:rPr>
                                <w:rFonts w:ascii="Arial" w:eastAsia="等线" w:hAnsi="Arial" w:cs="Arial"/>
                                <w:sz w:val="20"/>
                                <w:szCs w:val="20"/>
                                <w:lang w:val="en-GB"/>
                              </w:rPr>
                              <w:t xml:space="preserve">Solution 2: </w:t>
                            </w:r>
                          </w:p>
                          <w:p w14:paraId="3AAD0D78" w14:textId="77777777" w:rsidR="00AC421A" w:rsidRDefault="00AC421A" w:rsidP="00341F50">
                            <w:pPr>
                              <w:pStyle w:val="afd"/>
                              <w:snapToGrid w:val="0"/>
                              <w:spacing w:before="0" w:beforeAutospacing="0" w:after="120" w:afterAutospacing="0"/>
                              <w:rPr>
                                <w:rFonts w:ascii="Arial" w:eastAsia="等线" w:hAnsi="Arial" w:cs="Arial"/>
                                <w:sz w:val="20"/>
                                <w:szCs w:val="20"/>
                                <w:lang w:val="en-GB"/>
                              </w:rPr>
                            </w:pPr>
                            <w:r>
                              <w:rPr>
                                <w:rFonts w:ascii="Arial" w:eastAsia="等线" w:hAnsi="Arial" w:cs="Arial"/>
                                <w:sz w:val="20"/>
                                <w:szCs w:val="20"/>
                                <w:lang w:val="en-GB"/>
                              </w:rPr>
                              <w:t>The RRCReconfiguration message for TNL migration of the descendant-node IAB-MT is buffered by the descendent-node’s IAB-MT itself, and it is executed only when an indication is received from the parent IAB-DU. The indication of buffering and conditional execution may be included in the RRCReconfiguration. The condition for initiation and propagation of this indication is set so that it causes a sequential execution of RRCReconfigurations downstream.</w:t>
                            </w:r>
                          </w:p>
                          <w:p w14:paraId="6BFA0EFA" w14:textId="651A1B47" w:rsidR="00AC421A" w:rsidRPr="00341F50" w:rsidRDefault="00AC421A" w:rsidP="00341F50">
                            <w:pPr>
                              <w:pStyle w:val="afd"/>
                              <w:snapToGrid w:val="0"/>
                              <w:spacing w:before="0" w:beforeAutospacing="0" w:after="120" w:afterAutospacing="0"/>
                              <w:rPr>
                                <w:lang w:val="en-GB"/>
                              </w:rPr>
                            </w:pPr>
                            <w:r>
                              <w:rPr>
                                <w:rFonts w:ascii="Arial" w:eastAsia="等线" w:hAnsi="Arial" w:cs="Arial"/>
                                <w:sz w:val="20"/>
                                <w:szCs w:val="20"/>
                                <w:lang w:val="en-GB"/>
                              </w:rPr>
                              <w:t>RAN3 would like to ask RAN2 to provide feedback on</w:t>
                            </w:r>
                            <w:r w:rsidRPr="003F5724">
                              <w:rPr>
                                <w:rFonts w:ascii="Arial" w:eastAsia="等线" w:hAnsi="Arial" w:cs="Arial"/>
                                <w:bCs/>
                                <w:sz w:val="20"/>
                                <w:szCs w:val="20"/>
                                <w:lang w:val="en-GB"/>
                              </w:rPr>
                              <w:t xml:space="preserve"> Solutions 1 and 2. </w:t>
                            </w:r>
                          </w:p>
                        </w:txbxContent>
                      </wps:txbx>
                      <wps:bodyPr rot="0" vert="horz" wrap="square" lIns="91440" tIns="45720" rIns="91440" bIns="45720" anchor="t" anchorCtr="0">
                        <a:spAutoFit/>
                      </wps:bodyPr>
                    </wps:wsp>
                  </a:graphicData>
                </a:graphic>
              </wp:inline>
            </w:drawing>
          </mc:Choice>
          <mc:Fallback>
            <w:pict>
              <v:shape w14:anchorId="1BC83E70" id="_x0000_s1028" type="#_x0000_t202" style="width:481.95pt;height:11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">
                <v:textbox style="mso-fit-shape-to-text:t">
                  <w:txbxContent>
                    <w:p w14:paraId="492E3B69" w14:textId="77777777" w:rsidR="00AC421A" w:rsidRDefault="00AC421A" w:rsidP="00341F50">
                      <w:pPr>
                        <w:pStyle w:val="afd"/>
                        <w:snapToGrid w:val="0"/>
                        <w:spacing w:before="0" w:beforeAutospacing="0" w:after="120" w:afterAutospacing="0"/>
                        <w:rPr>
                          <w:rFonts w:ascii="Arial" w:eastAsia="等线" w:hAnsi="Arial" w:cs="Arial"/>
                          <w:sz w:val="20"/>
                          <w:szCs w:val="20"/>
                          <w:lang w:val="en-GB"/>
                        </w:rPr>
                      </w:pPr>
                      <w:r>
                        <w:rPr>
                          <w:rFonts w:ascii="Arial" w:eastAsia="等线" w:hAnsi="Arial" w:cs="Arial"/>
                          <w:sz w:val="20"/>
                          <w:szCs w:val="20"/>
                          <w:lang w:val="en-GB"/>
                        </w:rPr>
                        <w:t xml:space="preserve">Solution 1: </w:t>
                      </w:r>
                    </w:p>
                    <w:p w14:paraId="0DAA02F7" w14:textId="77777777" w:rsidR="00AC421A" w:rsidRDefault="00AC421A" w:rsidP="00341F50">
                      <w:pPr>
                        <w:pStyle w:val="afd"/>
                        <w:snapToGrid w:val="0"/>
                        <w:spacing w:before="0" w:beforeAutospacing="0" w:after="120" w:afterAutospacing="0"/>
                        <w:rPr>
                          <w:rFonts w:ascii="Arial" w:eastAsia="等线" w:hAnsi="Arial" w:cs="Arial"/>
                          <w:sz w:val="20"/>
                          <w:szCs w:val="20"/>
                          <w:lang w:val="en-GB"/>
                        </w:rPr>
                      </w:pPr>
                      <w:r>
                        <w:rPr>
                          <w:rFonts w:ascii="Arial" w:eastAsia="等线" w:hAnsi="Arial" w:cs="Arial"/>
                          <w:sz w:val="20"/>
                          <w:szCs w:val="20"/>
                          <w:lang w:val="en-GB"/>
                        </w:rPr>
                        <w:t>The RRCReconfiguration message for TNL migration of a descendent node IAB-MT is withheld by this descendant node’s parent IAB-DU, and it is delivered only when a condition is satisfied. The indication of buffering and conditional delivery may be provided by the IAB-donor-CU to the parent IAB-DU via an F1AP message including the RRCReconfiguration message.  The condition is set so that a sequential delivery and execution of RRCReconfigurations is created downstream.</w:t>
                      </w:r>
                    </w:p>
                    <w:p w14:paraId="1BEA93D5" w14:textId="173BC72E" w:rsidR="00AC421A" w:rsidRDefault="00AC421A" w:rsidP="00341F50">
                      <w:pPr>
                        <w:pStyle w:val="afd"/>
                        <w:snapToGrid w:val="0"/>
                        <w:spacing w:before="0" w:beforeAutospacing="0" w:after="0" w:afterAutospacing="0"/>
                        <w:rPr>
                          <w:rFonts w:ascii="Arial" w:eastAsia="等线" w:hAnsi="Arial" w:cs="Arial"/>
                          <w:sz w:val="20"/>
                          <w:szCs w:val="20"/>
                          <w:lang w:val="en-GB"/>
                        </w:rPr>
                      </w:pPr>
                      <w:r>
                        <w:rPr>
                          <w:rFonts w:ascii="Arial" w:eastAsia="等线" w:hAnsi="Arial" w:cs="Arial"/>
                          <w:sz w:val="20"/>
                          <w:szCs w:val="20"/>
                          <w:lang w:val="en-GB"/>
                        </w:rPr>
                        <w:t>…</w:t>
                      </w:r>
                    </w:p>
                    <w:p w14:paraId="010BBF0D" w14:textId="77777777" w:rsidR="00AC421A" w:rsidRDefault="00AC421A" w:rsidP="00341F50">
                      <w:pPr>
                        <w:pStyle w:val="afd"/>
                        <w:snapToGrid w:val="0"/>
                        <w:spacing w:before="240" w:beforeAutospacing="0" w:after="120" w:afterAutospacing="0"/>
                        <w:rPr>
                          <w:rFonts w:ascii="Arial" w:eastAsia="等线" w:hAnsi="Arial" w:cs="Arial"/>
                          <w:sz w:val="20"/>
                          <w:szCs w:val="20"/>
                          <w:lang w:val="en-GB"/>
                        </w:rPr>
                      </w:pPr>
                      <w:r>
                        <w:rPr>
                          <w:rFonts w:ascii="Arial" w:eastAsia="等线" w:hAnsi="Arial" w:cs="Arial"/>
                          <w:sz w:val="20"/>
                          <w:szCs w:val="20"/>
                          <w:lang w:val="en-GB"/>
                        </w:rPr>
                        <w:t xml:space="preserve">Solution 2: </w:t>
                      </w:r>
                    </w:p>
                    <w:p w14:paraId="3AAD0D78" w14:textId="77777777" w:rsidR="00AC421A" w:rsidRDefault="00AC421A" w:rsidP="00341F50">
                      <w:pPr>
                        <w:pStyle w:val="afd"/>
                        <w:snapToGrid w:val="0"/>
                        <w:spacing w:before="0" w:beforeAutospacing="0" w:after="120" w:afterAutospacing="0"/>
                        <w:rPr>
                          <w:rFonts w:ascii="Arial" w:eastAsia="等线" w:hAnsi="Arial" w:cs="Arial"/>
                          <w:sz w:val="20"/>
                          <w:szCs w:val="20"/>
                          <w:lang w:val="en-GB"/>
                        </w:rPr>
                      </w:pPr>
                      <w:r>
                        <w:rPr>
                          <w:rFonts w:ascii="Arial" w:eastAsia="等线" w:hAnsi="Arial" w:cs="Arial"/>
                          <w:sz w:val="20"/>
                          <w:szCs w:val="20"/>
                          <w:lang w:val="en-GB"/>
                        </w:rPr>
                        <w:t>The RRCReconfiguration message for TNL migration of the descendant-node IAB-MT is buffered by the descendent-node’s IAB-MT itself, and it is executed only when an indication is received from the parent IAB-DU. The indication of buffering and conditional execution may be included in the RRCReconfiguration. The condition for initiation and propagation of this indication is set so that it causes a sequential execution of RRCReconfigurations downstream.</w:t>
                      </w:r>
                    </w:p>
                    <w:p w14:paraId="6BFA0EFA" w14:textId="651A1B47" w:rsidR="00AC421A" w:rsidRPr="00341F50" w:rsidRDefault="00AC421A" w:rsidP="00341F50">
                      <w:pPr>
                        <w:pStyle w:val="afd"/>
                        <w:snapToGrid w:val="0"/>
                        <w:spacing w:before="0" w:beforeAutospacing="0" w:after="120" w:afterAutospacing="0"/>
                        <w:rPr>
                          <w:lang w:val="en-GB"/>
                        </w:rPr>
                      </w:pPr>
                      <w:r>
                        <w:rPr>
                          <w:rFonts w:ascii="Arial" w:eastAsia="等线" w:hAnsi="Arial" w:cs="Arial"/>
                          <w:sz w:val="20"/>
                          <w:szCs w:val="20"/>
                          <w:lang w:val="en-GB"/>
                        </w:rPr>
                        <w:t>RAN3 would like to ask RAN2 to provide feedback on</w:t>
                      </w:r>
                      <w:r w:rsidRPr="003F5724">
                        <w:rPr>
                          <w:rFonts w:ascii="Arial" w:eastAsia="等线" w:hAnsi="Arial" w:cs="Arial"/>
                          <w:bCs/>
                          <w:sz w:val="20"/>
                          <w:szCs w:val="20"/>
                          <w:lang w:val="en-GB"/>
                        </w:rPr>
                        <w:t xml:space="preserve"> Solutions 1 and 2. </w:t>
                      </w:r>
                    </w:p>
                  </w:txbxContent>
                </v:textbox>
                <w10:anchorlock/>
              </v:shape>
            </w:pict>
          </mc:Fallback>
        </mc:AlternateContent>
      </w:r>
    </w:p>
    <w:p w14:paraId="4C6614FF" w14:textId="4B75718F" w:rsidR="006A045E" w:rsidRDefault="005D1687" w:rsidP="005F2B05">
      <w:pPr>
        <w:spacing w:beforeLines="50" w:before="120"/>
        <w:ind w:left="34"/>
        <w:rPr>
          <w:rFonts w:ascii="Times New Roman" w:hAnsi="Times New Roman"/>
          <w:bCs/>
          <w:lang w:val="en-GB"/>
        </w:rPr>
      </w:pPr>
      <w:r>
        <w:rPr>
          <w:rFonts w:ascii="Times New Roman" w:hAnsi="Times New Roman"/>
          <w:bCs/>
          <w:lang w:val="en-GB"/>
        </w:rPr>
        <w:t xml:space="preserve">Since solution 1 requires some condition for an IAB-node to send the buffered RRCReconfiguration to its child IAB-nodes, and the solution 2 requires some condition to send the indication for execution to child IAB-nodes, we are going to discuss the proper condition for the two solutions firstly. </w:t>
      </w:r>
    </w:p>
    <w:p w14:paraId="520C7BEA" w14:textId="080ADB97" w:rsidR="00954495" w:rsidRDefault="00341F50" w:rsidP="005F2B05">
      <w:pPr>
        <w:spacing w:beforeLines="50" w:before="120"/>
        <w:ind w:left="34"/>
        <w:rPr>
          <w:rFonts w:ascii="Times New Roman" w:hAnsi="Times New Roman"/>
          <w:lang w:val="en-GB"/>
        </w:rPr>
      </w:pPr>
      <w:r>
        <w:rPr>
          <w:rFonts w:ascii="Times New Roman" w:hAnsi="Times New Roman"/>
          <w:lang w:val="en-GB"/>
        </w:rPr>
        <w:t>For both solutions,</w:t>
      </w:r>
      <w:r w:rsidR="0049737D">
        <w:rPr>
          <w:rFonts w:ascii="Times New Roman" w:hAnsi="Times New Roman"/>
          <w:lang w:val="en-GB"/>
        </w:rPr>
        <w:t xml:space="preserve"> the TNL migration of the descendant IAB nodes will not success before the target routing path is ready</w:t>
      </w:r>
      <w:r w:rsidR="005F2B05">
        <w:rPr>
          <w:rFonts w:ascii="Times New Roman" w:hAnsi="Times New Roman"/>
          <w:lang w:val="en-GB"/>
        </w:rPr>
        <w:t>.</w:t>
      </w:r>
      <w:r w:rsidR="00954495">
        <w:rPr>
          <w:rFonts w:ascii="Times New Roman" w:hAnsi="Times New Roman"/>
          <w:lang w:val="en-GB"/>
        </w:rPr>
        <w:t xml:space="preserve"> So the successful access at the target parent node for the migrating IAB node is </w:t>
      </w:r>
      <w:r w:rsidR="00D50C2E">
        <w:rPr>
          <w:rFonts w:ascii="Times New Roman" w:hAnsi="Times New Roman"/>
          <w:lang w:val="en-GB"/>
        </w:rPr>
        <w:t xml:space="preserve">necessary </w:t>
      </w:r>
      <w:r w:rsidR="00954495">
        <w:rPr>
          <w:rFonts w:ascii="Times New Roman" w:hAnsi="Times New Roman"/>
          <w:lang w:val="en-GB"/>
        </w:rPr>
        <w:t xml:space="preserve">before the descendant IAB-nodes initiate their TNL migration. But this is not the only sufficient condition. </w:t>
      </w:r>
    </w:p>
    <w:p w14:paraId="4E14A0F5" w14:textId="6FA75985" w:rsidR="005F2B05" w:rsidRDefault="005F2B05" w:rsidP="005F2B05">
      <w:pPr>
        <w:spacing w:beforeLines="50" w:before="120"/>
        <w:ind w:left="34"/>
        <w:rPr>
          <w:rFonts w:ascii="Times New Roman" w:hAnsi="Times New Roman"/>
          <w:lang w:val="en-GB"/>
        </w:rPr>
      </w:pPr>
      <w:r>
        <w:rPr>
          <w:rFonts w:ascii="Times New Roman" w:hAnsi="Times New Roman"/>
          <w:lang w:val="en-GB"/>
        </w:rPr>
        <w:t xml:space="preserve">For example, </w:t>
      </w:r>
      <w:r w:rsidR="00954495">
        <w:rPr>
          <w:rFonts w:ascii="Times New Roman" w:hAnsi="Times New Roman"/>
          <w:lang w:val="en-GB"/>
        </w:rPr>
        <w:t xml:space="preserve">for solution 1, if </w:t>
      </w:r>
      <w:r>
        <w:rPr>
          <w:rFonts w:ascii="Times New Roman" w:hAnsi="Times New Roman"/>
          <w:lang w:val="en-GB"/>
        </w:rPr>
        <w:t>the migrating IAB-node send the buffered RRCReconfiguration to its child IAB-node after successful RA procedure of the migrating IAB-MT, then the child IAB node begin</w:t>
      </w:r>
      <w:r w:rsidR="00D50C2E">
        <w:rPr>
          <w:rFonts w:ascii="Times New Roman" w:hAnsi="Times New Roman"/>
          <w:lang w:val="en-GB"/>
        </w:rPr>
        <w:t>s</w:t>
      </w:r>
      <w:r>
        <w:rPr>
          <w:rFonts w:ascii="Times New Roman" w:hAnsi="Times New Roman"/>
          <w:lang w:val="en-GB"/>
        </w:rPr>
        <w:t xml:space="preserve"> to perform the TNL migration using the configuration provided by the RRCReconfiguration, which includes the new TNL address, the updated default BAP routing ID, as well as the default BH RLC CH in the target path. Before the successful </w:t>
      </w:r>
      <w:r w:rsidR="00D50C2E">
        <w:rPr>
          <w:rFonts w:ascii="Times New Roman" w:hAnsi="Times New Roman"/>
          <w:lang w:val="en-GB"/>
        </w:rPr>
        <w:t xml:space="preserve">TNL migration </w:t>
      </w:r>
      <w:r>
        <w:rPr>
          <w:rFonts w:ascii="Times New Roman" w:hAnsi="Times New Roman"/>
          <w:lang w:val="en-GB"/>
        </w:rPr>
        <w:t xml:space="preserve">of the child IAB node, all the UL packets in the TNL migration procedure will use the default BAP routing ID and the default BH RLC CH. However, if the parent node (i.e. the migrating IAB node) haven't get the updated BAP configuration which includes the entry for the child node’s default BAP routing ID, nor the updated BH RLC CH mapping configuration which includes the entry of the ingress default BH RLC CH of the child node, the UL packets for TNL migration procedure of the child node are not able to be forwarded properly, these UL packets may even </w:t>
      </w:r>
      <w:r w:rsidR="00D50C2E">
        <w:rPr>
          <w:rFonts w:ascii="Times New Roman" w:hAnsi="Times New Roman"/>
          <w:lang w:val="en-GB"/>
        </w:rPr>
        <w:t xml:space="preserve">be </w:t>
      </w:r>
      <w:r>
        <w:rPr>
          <w:rFonts w:ascii="Times New Roman" w:hAnsi="Times New Roman"/>
          <w:lang w:val="en-GB"/>
        </w:rPr>
        <w:t>discarded by the parent IAB node since there is no matched BAP routing entry</w:t>
      </w:r>
      <w:r w:rsidR="00954495">
        <w:rPr>
          <w:rFonts w:ascii="Times New Roman" w:hAnsi="Times New Roman"/>
          <w:lang w:val="en-GB"/>
        </w:rPr>
        <w:t xml:space="preserve">, according to the </w:t>
      </w:r>
      <w:r w:rsidR="007C17B3">
        <w:rPr>
          <w:rFonts w:ascii="Times New Roman" w:hAnsi="Times New Roman"/>
          <w:lang w:val="en-GB"/>
        </w:rPr>
        <w:t xml:space="preserve">packet discarding operation for unknown date in the </w:t>
      </w:r>
      <w:r w:rsidR="00954495">
        <w:rPr>
          <w:rFonts w:ascii="Times New Roman" w:hAnsi="Times New Roman"/>
          <w:lang w:val="en-GB"/>
        </w:rPr>
        <w:t>current BAP specification</w:t>
      </w:r>
      <w:r w:rsidR="007C17B3">
        <w:rPr>
          <w:rFonts w:ascii="Times New Roman" w:hAnsi="Times New Roman"/>
          <w:lang w:val="en-GB"/>
        </w:rPr>
        <w:t xml:space="preserve"> </w:t>
      </w:r>
      <w:r w:rsidR="007C17B3">
        <w:rPr>
          <w:rFonts w:ascii="Times New Roman" w:hAnsi="Times New Roman"/>
          <w:lang w:val="en-GB"/>
        </w:rPr>
        <w:fldChar w:fldCharType="begin"/>
      </w:r>
      <w:r w:rsidR="007C17B3">
        <w:rPr>
          <w:rFonts w:ascii="Times New Roman" w:hAnsi="Times New Roman"/>
          <w:lang w:val="en-GB"/>
        </w:rPr>
        <w:instrText xml:space="preserve"> REF _Ref78314461 \r \h </w:instrText>
      </w:r>
      <w:r w:rsidR="007C17B3">
        <w:rPr>
          <w:rFonts w:ascii="Times New Roman" w:hAnsi="Times New Roman"/>
          <w:lang w:val="en-GB"/>
        </w:rPr>
      </w:r>
      <w:r w:rsidR="007C17B3">
        <w:rPr>
          <w:rFonts w:ascii="Times New Roman" w:hAnsi="Times New Roman"/>
          <w:lang w:val="en-GB"/>
        </w:rPr>
        <w:fldChar w:fldCharType="separate"/>
      </w:r>
      <w:r w:rsidR="007C17B3">
        <w:rPr>
          <w:rFonts w:ascii="Times New Roman" w:hAnsi="Times New Roman"/>
          <w:lang w:val="en-GB"/>
        </w:rPr>
        <w:t>[3]</w:t>
      </w:r>
      <w:r w:rsidR="007C17B3">
        <w:rPr>
          <w:rFonts w:ascii="Times New Roman" w:hAnsi="Times New Roman"/>
          <w:lang w:val="en-GB"/>
        </w:rPr>
        <w:fldChar w:fldCharType="end"/>
      </w:r>
      <w:r w:rsidR="007C17B3">
        <w:rPr>
          <w:rFonts w:ascii="Times New Roman" w:hAnsi="Times New Roman"/>
          <w:lang w:val="en-GB"/>
        </w:rPr>
        <w:t>:</w:t>
      </w:r>
      <w:r>
        <w:rPr>
          <w:rFonts w:ascii="Times New Roman" w:hAnsi="Times New Roman"/>
          <w:lang w:val="en-GB"/>
        </w:rPr>
        <w:t xml:space="preserve"> </w:t>
      </w:r>
    </w:p>
    <w:p w14:paraId="1C6B8AAE" w14:textId="6C3E4CED" w:rsidR="00D1726A" w:rsidRDefault="00D1726A" w:rsidP="005F2B05">
      <w:pPr>
        <w:spacing w:beforeLines="50" w:before="120"/>
        <w:ind w:left="34"/>
        <w:rPr>
          <w:rFonts w:ascii="Times New Roman" w:hAnsi="Times New Roman"/>
          <w:lang w:val="en-GB"/>
        </w:rPr>
      </w:pPr>
      <w:r w:rsidRPr="00D1726A">
        <w:rPr>
          <w:rFonts w:ascii="Times New Roman" w:hAnsi="Times New Roman"/>
          <w:noProof/>
        </w:rPr>
        <mc:AlternateContent>
          <mc:Choice Requires="wps">
            <w:drawing>
              <wp:inline distT="0" distB="0" distL="0" distR="0" wp14:anchorId="6CF05321" wp14:editId="1259DE83">
                <wp:extent cx="6078235" cy="1404620"/>
                <wp:effectExtent l="0" t="0" r="17780"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35" cy="1404620"/>
                        </a:xfrm>
                        <a:prstGeom prst="rect">
                          <a:avLst/>
                        </a:prstGeom>
                        <a:solidFill>
                          <a:srgbClr val="FFFFFF"/>
                        </a:solidFill>
                        <a:ln w="9525">
                          <a:solidFill>
                            <a:srgbClr val="000000"/>
                          </a:solidFill>
                          <a:miter lim="800000"/>
                          <a:headEnd/>
                          <a:tailEnd/>
                        </a:ln>
                      </wps:spPr>
                      <wps:txbx>
                        <w:txbxContent>
                          <w:p w14:paraId="3FD8EA16" w14:textId="1C4906A2" w:rsidR="00AC421A" w:rsidRPr="00D1726A" w:rsidRDefault="00AC421A" w:rsidP="00D1726A">
                            <w:pPr>
                              <w:pStyle w:val="2"/>
                              <w:numPr>
                                <w:ilvl w:val="0"/>
                                <w:numId w:val="0"/>
                              </w:numPr>
                              <w:ind w:left="640" w:hangingChars="200" w:hanging="640"/>
                              <w:rPr>
                                <w:rFonts w:eastAsia="Times New Roman" w:cs="Arial"/>
                                <w:szCs w:val="20"/>
                                <w:lang w:eastAsia="ja-JP"/>
                              </w:rPr>
                            </w:pPr>
                            <w:bookmarkStart w:id="10" w:name="_Toc76555066"/>
                            <w:bookmarkStart w:id="11" w:name="_Toc52580796"/>
                            <w:bookmarkStart w:id="12" w:name="_Toc46491332"/>
                            <w:r w:rsidRPr="00D1726A">
                              <w:rPr>
                                <w:rFonts w:eastAsia="Times New Roman" w:cs="Arial"/>
                                <w:szCs w:val="20"/>
                                <w:lang w:eastAsia="ja-JP"/>
                              </w:rPr>
                              <w:t>5.</w:t>
                            </w:r>
                            <w:r w:rsidRPr="00D1726A">
                              <w:rPr>
                                <w:rFonts w:eastAsia="Times New Roman" w:cs="Arial"/>
                                <w:szCs w:val="20"/>
                              </w:rPr>
                              <w:t>5</w:t>
                            </w:r>
                            <w:r w:rsidRPr="00D1726A">
                              <w:rPr>
                                <w:rFonts w:eastAsia="Times New Roman" w:cs="Arial"/>
                                <w:szCs w:val="20"/>
                                <w:lang w:eastAsia="ja-JP"/>
                              </w:rPr>
                              <w:tab/>
                              <w:t>Handling of unknown, unforeseen, and erroneous protocol data</w:t>
                            </w:r>
                            <w:bookmarkEnd w:id="10"/>
                            <w:bookmarkEnd w:id="11"/>
                            <w:bookmarkEnd w:id="12"/>
                          </w:p>
                          <w:p w14:paraId="7F9924E8" w14:textId="77777777" w:rsidR="00AC421A" w:rsidRPr="00D1726A" w:rsidRDefault="00AC421A" w:rsidP="00D1726A">
                            <w:pPr>
                              <w:spacing w:after="180"/>
                              <w:jc w:val="left"/>
                              <w:textAlignment w:val="auto"/>
                              <w:rPr>
                                <w:rFonts w:ascii="Times New Roman" w:eastAsia="Times New Roman" w:hAnsi="Times New Roman"/>
                                <w:noProof/>
                                <w:lang w:val="en-GB" w:eastAsia="ja-JP"/>
                              </w:rPr>
                            </w:pPr>
                            <w:r w:rsidRPr="00D1726A">
                              <w:rPr>
                                <w:rFonts w:ascii="Times New Roman" w:eastAsia="Times New Roman" w:hAnsi="Times New Roman"/>
                                <w:noProof/>
                                <w:lang w:val="en-GB" w:eastAsia="ja-JP"/>
                              </w:rPr>
                              <w:t xml:space="preserve">When a </w:t>
                            </w:r>
                            <w:r w:rsidRPr="00D1726A">
                              <w:rPr>
                                <w:rFonts w:ascii="Times New Roman" w:eastAsia="Times New Roman" w:hAnsi="Times New Roman"/>
                                <w:noProof/>
                                <w:highlight w:val="yellow"/>
                                <w:lang w:val="en-GB"/>
                              </w:rPr>
                              <w:t>BAP</w:t>
                            </w:r>
                            <w:r w:rsidRPr="00D1726A">
                              <w:rPr>
                                <w:rFonts w:ascii="Times New Roman" w:eastAsia="Times New Roman" w:hAnsi="Times New Roman"/>
                                <w:noProof/>
                                <w:highlight w:val="yellow"/>
                                <w:lang w:val="en-GB" w:eastAsia="ja-JP"/>
                              </w:rPr>
                              <w:t xml:space="preserve"> Data PDU that </w:t>
                            </w:r>
                            <w:r w:rsidRPr="00D1726A">
                              <w:rPr>
                                <w:rFonts w:ascii="Times New Roman" w:eastAsia="Times New Roman" w:hAnsi="Times New Roman"/>
                                <w:noProof/>
                                <w:highlight w:val="yellow"/>
                                <w:lang w:val="en-GB"/>
                              </w:rPr>
                              <w:t>contains</w:t>
                            </w:r>
                            <w:r w:rsidRPr="00D1726A">
                              <w:rPr>
                                <w:rFonts w:ascii="Times New Roman" w:eastAsia="Times New Roman" w:hAnsi="Times New Roman"/>
                                <w:noProof/>
                                <w:lang w:val="en-GB"/>
                              </w:rPr>
                              <w:t xml:space="preserve"> </w:t>
                            </w:r>
                            <w:r w:rsidRPr="00D1726A">
                              <w:rPr>
                                <w:rFonts w:ascii="Times New Roman" w:eastAsia="Times New Roman" w:hAnsi="Times New Roman"/>
                                <w:noProof/>
                                <w:highlight w:val="yellow"/>
                                <w:lang w:val="en-GB"/>
                              </w:rPr>
                              <w:t xml:space="preserve">a BAP address which is not included in the configured </w:t>
                            </w:r>
                            <w:r w:rsidRPr="00D1726A">
                              <w:rPr>
                                <w:rFonts w:ascii="Times New Roman" w:eastAsia="Times New Roman" w:hAnsi="Times New Roman"/>
                                <w:highlight w:val="yellow"/>
                                <w:lang w:val="en-GB"/>
                              </w:rPr>
                              <w:t>BH Routing</w:t>
                            </w:r>
                            <w:r w:rsidRPr="00D1726A">
                              <w:rPr>
                                <w:rFonts w:ascii="Times New Roman" w:eastAsia="Times New Roman" w:hAnsi="Times New Roman"/>
                                <w:highlight w:val="yellow"/>
                                <w:lang w:val="en-GB" w:eastAsia="ja-JP"/>
                              </w:rPr>
                              <w:t xml:space="preserve"> </w:t>
                            </w:r>
                            <w:r w:rsidRPr="00D1726A">
                              <w:rPr>
                                <w:rFonts w:ascii="Times New Roman" w:eastAsia="Times New Roman" w:hAnsi="Times New Roman"/>
                                <w:highlight w:val="yellow"/>
                                <w:lang w:val="en-GB"/>
                              </w:rPr>
                              <w:t>Configuration</w:t>
                            </w:r>
                            <w:r w:rsidRPr="00D1726A">
                              <w:rPr>
                                <w:rFonts w:ascii="Times New Roman" w:eastAsia="Times New Roman" w:hAnsi="Times New Roman"/>
                                <w:highlight w:val="yellow"/>
                                <w:lang w:val="en-GB" w:eastAsia="ja-JP"/>
                              </w:rPr>
                              <w:t xml:space="preserve"> and is not the BAP address of this node</w:t>
                            </w:r>
                            <w:r w:rsidRPr="00D1726A">
                              <w:rPr>
                                <w:rFonts w:ascii="Times New Roman" w:eastAsia="Times New Roman" w:hAnsi="Times New Roman"/>
                                <w:noProof/>
                                <w:highlight w:val="yellow"/>
                                <w:lang w:val="en-GB" w:eastAsia="ja-JP"/>
                              </w:rPr>
                              <w:t xml:space="preserve"> is received</w:t>
                            </w:r>
                            <w:r w:rsidRPr="00D1726A">
                              <w:rPr>
                                <w:rFonts w:ascii="Times New Roman" w:eastAsia="Times New Roman" w:hAnsi="Times New Roman"/>
                                <w:noProof/>
                                <w:lang w:val="en-GB" w:eastAsia="ja-JP"/>
                              </w:rPr>
                              <w:t xml:space="preserve">; or when a BAP Control PDU that contains reserved or invalid values is received the </w:t>
                            </w:r>
                            <w:r w:rsidRPr="00D1726A">
                              <w:rPr>
                                <w:rFonts w:ascii="Times New Roman" w:eastAsia="Times New Roman" w:hAnsi="Times New Roman"/>
                                <w:noProof/>
                                <w:lang w:val="en-GB"/>
                              </w:rPr>
                              <w:t>BAP entity</w:t>
                            </w:r>
                            <w:r w:rsidRPr="00D1726A">
                              <w:rPr>
                                <w:rFonts w:ascii="Times New Roman" w:eastAsia="Times New Roman" w:hAnsi="Times New Roman"/>
                                <w:noProof/>
                                <w:lang w:val="en-GB" w:eastAsia="ja-JP"/>
                              </w:rPr>
                              <w:t xml:space="preserve"> shall:</w:t>
                            </w:r>
                          </w:p>
                          <w:p w14:paraId="041157E8" w14:textId="37274AE5" w:rsidR="00AC421A" w:rsidRPr="00D1726A" w:rsidRDefault="00AC421A" w:rsidP="00D1726A">
                            <w:pPr>
                              <w:spacing w:after="180"/>
                              <w:ind w:left="568" w:hanging="284"/>
                              <w:jc w:val="left"/>
                              <w:textAlignment w:val="auto"/>
                            </w:pPr>
                            <w:r w:rsidRPr="00D1726A">
                              <w:rPr>
                                <w:rFonts w:ascii="Times New Roman" w:eastAsia="Times New Roman" w:hAnsi="Times New Roman"/>
                                <w:noProof/>
                              </w:rPr>
                              <w:t>-</w:t>
                            </w:r>
                            <w:r w:rsidRPr="00D1726A">
                              <w:rPr>
                                <w:rFonts w:ascii="Times New Roman" w:eastAsia="Times New Roman" w:hAnsi="Times New Roman"/>
                                <w:noProof/>
                              </w:rPr>
                              <w:tab/>
                            </w:r>
                            <w:r w:rsidRPr="00D1726A">
                              <w:rPr>
                                <w:rFonts w:ascii="Times New Roman" w:eastAsia="Times New Roman" w:hAnsi="Times New Roman"/>
                                <w:noProof/>
                                <w:highlight w:val="yellow"/>
                              </w:rPr>
                              <w:t>discard the received BAP PDU</w:t>
                            </w:r>
                            <w:r w:rsidRPr="00D1726A">
                              <w:rPr>
                                <w:rFonts w:ascii="Times New Roman" w:eastAsia="Times New Roman" w:hAnsi="Times New Roman"/>
                                <w:noProof/>
                              </w:rPr>
                              <w:t>.</w:t>
                            </w:r>
                          </w:p>
                        </w:txbxContent>
                      </wps:txbx>
                      <wps:bodyPr rot="0" vert="horz" wrap="square" lIns="91440" tIns="45720" rIns="91440" bIns="45720" anchor="t" anchorCtr="0">
                        <a:spAutoFit/>
                      </wps:bodyPr>
                    </wps:wsp>
                  </a:graphicData>
                </a:graphic>
              </wp:inline>
            </w:drawing>
          </mc:Choice>
          <mc:Fallback>
            <w:pict>
              <v:shape w14:anchorId="6CF05321" id="_x0000_s1029"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">
                <v:textbox style="mso-fit-shape-to-text:t">
                  <w:txbxContent>
                    <w:p w14:paraId="3FD8EA16" w14:textId="1C4906A2" w:rsidR="00AC421A" w:rsidRPr="00D1726A" w:rsidRDefault="00AC421A" w:rsidP="00D1726A">
                      <w:pPr>
                        <w:pStyle w:val="2"/>
                        <w:numPr>
                          <w:ilvl w:val="0"/>
                          <w:numId w:val="0"/>
                        </w:numPr>
                        <w:ind w:left="640" w:hangingChars="200" w:hanging="640"/>
                        <w:rPr>
                          <w:rFonts w:eastAsia="Times New Roman" w:cs="Arial"/>
                          <w:szCs w:val="20"/>
                          <w:lang w:eastAsia="ja-JP"/>
                        </w:rPr>
                      </w:pPr>
                      <w:bookmarkStart w:id="13" w:name="_Toc76555066"/>
                      <w:bookmarkStart w:id="14" w:name="_Toc52580796"/>
                      <w:bookmarkStart w:id="15" w:name="_Toc46491332"/>
                      <w:r w:rsidRPr="00D1726A">
                        <w:rPr>
                          <w:rFonts w:eastAsia="Times New Roman" w:cs="Arial"/>
                          <w:szCs w:val="20"/>
                          <w:lang w:eastAsia="ja-JP"/>
                        </w:rPr>
                        <w:t>5.</w:t>
                      </w:r>
                      <w:r w:rsidRPr="00D1726A">
                        <w:rPr>
                          <w:rFonts w:eastAsia="Times New Roman" w:cs="Arial"/>
                          <w:szCs w:val="20"/>
                        </w:rPr>
                        <w:t>5</w:t>
                      </w:r>
                      <w:r w:rsidRPr="00D1726A">
                        <w:rPr>
                          <w:rFonts w:eastAsia="Times New Roman" w:cs="Arial"/>
                          <w:szCs w:val="20"/>
                          <w:lang w:eastAsia="ja-JP"/>
                        </w:rPr>
                        <w:tab/>
                        <w:t>Handling of unknown, unforeseen, and erroneous protocol data</w:t>
                      </w:r>
                      <w:bookmarkEnd w:id="13"/>
                      <w:bookmarkEnd w:id="14"/>
                      <w:bookmarkEnd w:id="15"/>
                    </w:p>
                    <w:p w14:paraId="7F9924E8" w14:textId="77777777" w:rsidR="00AC421A" w:rsidRPr="00D1726A" w:rsidRDefault="00AC421A" w:rsidP="00D1726A">
                      <w:pPr>
                        <w:spacing w:after="180"/>
                        <w:jc w:val="left"/>
                        <w:textAlignment w:val="auto"/>
                        <w:rPr>
                          <w:rFonts w:ascii="Times New Roman" w:eastAsia="Times New Roman" w:hAnsi="Times New Roman"/>
                          <w:noProof/>
                          <w:lang w:val="en-GB" w:eastAsia="ja-JP"/>
                        </w:rPr>
                      </w:pPr>
                      <w:r w:rsidRPr="00D1726A">
                        <w:rPr>
                          <w:rFonts w:ascii="Times New Roman" w:eastAsia="Times New Roman" w:hAnsi="Times New Roman"/>
                          <w:noProof/>
                          <w:lang w:val="en-GB" w:eastAsia="ja-JP"/>
                        </w:rPr>
                        <w:t xml:space="preserve">When a </w:t>
                      </w:r>
                      <w:r w:rsidRPr="00D1726A">
                        <w:rPr>
                          <w:rFonts w:ascii="Times New Roman" w:eastAsia="Times New Roman" w:hAnsi="Times New Roman"/>
                          <w:noProof/>
                          <w:highlight w:val="yellow"/>
                          <w:lang w:val="en-GB"/>
                        </w:rPr>
                        <w:t>BAP</w:t>
                      </w:r>
                      <w:r w:rsidRPr="00D1726A">
                        <w:rPr>
                          <w:rFonts w:ascii="Times New Roman" w:eastAsia="Times New Roman" w:hAnsi="Times New Roman"/>
                          <w:noProof/>
                          <w:highlight w:val="yellow"/>
                          <w:lang w:val="en-GB" w:eastAsia="ja-JP"/>
                        </w:rPr>
                        <w:t xml:space="preserve"> Data PDU that </w:t>
                      </w:r>
                      <w:r w:rsidRPr="00D1726A">
                        <w:rPr>
                          <w:rFonts w:ascii="Times New Roman" w:eastAsia="Times New Roman" w:hAnsi="Times New Roman"/>
                          <w:noProof/>
                          <w:highlight w:val="yellow"/>
                          <w:lang w:val="en-GB"/>
                        </w:rPr>
                        <w:t>contains</w:t>
                      </w:r>
                      <w:r w:rsidRPr="00D1726A">
                        <w:rPr>
                          <w:rFonts w:ascii="Times New Roman" w:eastAsia="Times New Roman" w:hAnsi="Times New Roman"/>
                          <w:noProof/>
                          <w:lang w:val="en-GB"/>
                        </w:rPr>
                        <w:t xml:space="preserve"> </w:t>
                      </w:r>
                      <w:r w:rsidRPr="00D1726A">
                        <w:rPr>
                          <w:rFonts w:ascii="Times New Roman" w:eastAsia="Times New Roman" w:hAnsi="Times New Roman"/>
                          <w:noProof/>
                          <w:highlight w:val="yellow"/>
                          <w:lang w:val="en-GB"/>
                        </w:rPr>
                        <w:t xml:space="preserve">a BAP address which is not included in the configured </w:t>
                      </w:r>
                      <w:r w:rsidRPr="00D1726A">
                        <w:rPr>
                          <w:rFonts w:ascii="Times New Roman" w:eastAsia="Times New Roman" w:hAnsi="Times New Roman"/>
                          <w:highlight w:val="yellow"/>
                          <w:lang w:val="en-GB"/>
                        </w:rPr>
                        <w:t>BH Routing</w:t>
                      </w:r>
                      <w:r w:rsidRPr="00D1726A">
                        <w:rPr>
                          <w:rFonts w:ascii="Times New Roman" w:eastAsia="Times New Roman" w:hAnsi="Times New Roman"/>
                          <w:highlight w:val="yellow"/>
                          <w:lang w:val="en-GB" w:eastAsia="ja-JP"/>
                        </w:rPr>
                        <w:t xml:space="preserve"> </w:t>
                      </w:r>
                      <w:r w:rsidRPr="00D1726A">
                        <w:rPr>
                          <w:rFonts w:ascii="Times New Roman" w:eastAsia="Times New Roman" w:hAnsi="Times New Roman"/>
                          <w:highlight w:val="yellow"/>
                          <w:lang w:val="en-GB"/>
                        </w:rPr>
                        <w:t>Configuration</w:t>
                      </w:r>
                      <w:r w:rsidRPr="00D1726A">
                        <w:rPr>
                          <w:rFonts w:ascii="Times New Roman" w:eastAsia="Times New Roman" w:hAnsi="Times New Roman"/>
                          <w:highlight w:val="yellow"/>
                          <w:lang w:val="en-GB" w:eastAsia="ja-JP"/>
                        </w:rPr>
                        <w:t xml:space="preserve"> and is not the BAP address of this node</w:t>
                      </w:r>
                      <w:r w:rsidRPr="00D1726A">
                        <w:rPr>
                          <w:rFonts w:ascii="Times New Roman" w:eastAsia="Times New Roman" w:hAnsi="Times New Roman"/>
                          <w:noProof/>
                          <w:highlight w:val="yellow"/>
                          <w:lang w:val="en-GB" w:eastAsia="ja-JP"/>
                        </w:rPr>
                        <w:t xml:space="preserve"> is received</w:t>
                      </w:r>
                      <w:r w:rsidRPr="00D1726A">
                        <w:rPr>
                          <w:rFonts w:ascii="Times New Roman" w:eastAsia="Times New Roman" w:hAnsi="Times New Roman"/>
                          <w:noProof/>
                          <w:lang w:val="en-GB" w:eastAsia="ja-JP"/>
                        </w:rPr>
                        <w:t xml:space="preserve">; or when a BAP Control PDU that contains reserved or invalid values is received the </w:t>
                      </w:r>
                      <w:r w:rsidRPr="00D1726A">
                        <w:rPr>
                          <w:rFonts w:ascii="Times New Roman" w:eastAsia="Times New Roman" w:hAnsi="Times New Roman"/>
                          <w:noProof/>
                          <w:lang w:val="en-GB"/>
                        </w:rPr>
                        <w:t>BAP entity</w:t>
                      </w:r>
                      <w:r w:rsidRPr="00D1726A">
                        <w:rPr>
                          <w:rFonts w:ascii="Times New Roman" w:eastAsia="Times New Roman" w:hAnsi="Times New Roman"/>
                          <w:noProof/>
                          <w:lang w:val="en-GB" w:eastAsia="ja-JP"/>
                        </w:rPr>
                        <w:t xml:space="preserve"> shall:</w:t>
                      </w:r>
                    </w:p>
                    <w:p w14:paraId="041157E8" w14:textId="37274AE5" w:rsidR="00AC421A" w:rsidRPr="00D1726A" w:rsidRDefault="00AC421A" w:rsidP="00D1726A">
                      <w:pPr>
                        <w:spacing w:after="180"/>
                        <w:ind w:left="568" w:hanging="284"/>
                        <w:jc w:val="left"/>
                        <w:textAlignment w:val="auto"/>
                      </w:pPr>
                      <w:r w:rsidRPr="00D1726A">
                        <w:rPr>
                          <w:rFonts w:ascii="Times New Roman" w:eastAsia="Times New Roman" w:hAnsi="Times New Roman"/>
                          <w:noProof/>
                        </w:rPr>
                        <w:t>-</w:t>
                      </w:r>
                      <w:r w:rsidRPr="00D1726A">
                        <w:rPr>
                          <w:rFonts w:ascii="Times New Roman" w:eastAsia="Times New Roman" w:hAnsi="Times New Roman"/>
                          <w:noProof/>
                        </w:rPr>
                        <w:tab/>
                      </w:r>
                      <w:r w:rsidRPr="00D1726A">
                        <w:rPr>
                          <w:rFonts w:ascii="Times New Roman" w:eastAsia="Times New Roman" w:hAnsi="Times New Roman"/>
                          <w:noProof/>
                          <w:highlight w:val="yellow"/>
                        </w:rPr>
                        <w:t>discard the received BAP PDU</w:t>
                      </w:r>
                      <w:r w:rsidRPr="00D1726A">
                        <w:rPr>
                          <w:rFonts w:ascii="Times New Roman" w:eastAsia="Times New Roman" w:hAnsi="Times New Roman"/>
                          <w:noProof/>
                        </w:rPr>
                        <w:t>.</w:t>
                      </w:r>
                    </w:p>
                  </w:txbxContent>
                </v:textbox>
                <w10:anchorlock/>
              </v:shape>
            </w:pict>
          </mc:Fallback>
        </mc:AlternateContent>
      </w:r>
    </w:p>
    <w:p w14:paraId="086FABD4" w14:textId="0037EDC6" w:rsidR="005F2B05" w:rsidRDefault="005F2B05" w:rsidP="005F2B05">
      <w:pPr>
        <w:spacing w:beforeLines="50" w:before="120"/>
        <w:ind w:left="34"/>
        <w:rPr>
          <w:rFonts w:ascii="Times New Roman" w:hAnsi="Times New Roman"/>
          <w:lang w:val="en-GB"/>
        </w:rPr>
      </w:pPr>
      <w:r>
        <w:rPr>
          <w:rFonts w:ascii="Times New Roman" w:hAnsi="Times New Roman"/>
          <w:lang w:val="en-GB"/>
        </w:rPr>
        <w:t>Therefore, with solution 1, the TNL migration of the child node will fail</w:t>
      </w:r>
      <w:r w:rsidR="00EE41F5">
        <w:rPr>
          <w:rFonts w:ascii="Times New Roman" w:hAnsi="Times New Roman"/>
          <w:lang w:val="en-GB"/>
        </w:rPr>
        <w:t xml:space="preserve"> until</w:t>
      </w:r>
      <w:r>
        <w:rPr>
          <w:rFonts w:ascii="Times New Roman" w:hAnsi="Times New Roman"/>
          <w:lang w:val="en-GB"/>
        </w:rPr>
        <w:t xml:space="preserve"> the BAP routing table in the parent IAB node being updated to include the routing entry for chid node’s new default BAP routing ID. Now that the BAP routing configuration update are performed using F1AP procedures, then it means that t</w:t>
      </w:r>
      <w:r w:rsidRPr="00D6438D">
        <w:rPr>
          <w:rFonts w:ascii="Times New Roman" w:hAnsi="Times New Roman"/>
          <w:lang w:val="en-GB"/>
        </w:rPr>
        <w:t xml:space="preserve">he TNL migration procedure of any child node, should </w:t>
      </w:r>
      <w:r w:rsidR="00D50C2E">
        <w:rPr>
          <w:rFonts w:ascii="Times New Roman" w:hAnsi="Times New Roman"/>
          <w:lang w:val="en-GB"/>
        </w:rPr>
        <w:t xml:space="preserve">be </w:t>
      </w:r>
      <w:r w:rsidRPr="00D6438D">
        <w:rPr>
          <w:rFonts w:ascii="Times New Roman" w:hAnsi="Times New Roman"/>
          <w:lang w:val="en-GB"/>
        </w:rPr>
        <w:t xml:space="preserve">pending </w:t>
      </w:r>
      <w:r w:rsidR="00D50C2E">
        <w:rPr>
          <w:rFonts w:ascii="Times New Roman" w:hAnsi="Times New Roman"/>
          <w:lang w:val="en-GB"/>
        </w:rPr>
        <w:t xml:space="preserve">until </w:t>
      </w:r>
      <w:r w:rsidRPr="00D6438D">
        <w:rPr>
          <w:rFonts w:ascii="Times New Roman" w:hAnsi="Times New Roman"/>
          <w:lang w:val="en-GB"/>
        </w:rPr>
        <w:t xml:space="preserve">the success of TNL migration of </w:t>
      </w:r>
      <w:r w:rsidR="00D50C2E">
        <w:rPr>
          <w:rFonts w:ascii="Times New Roman" w:hAnsi="Times New Roman"/>
          <w:lang w:val="en-GB"/>
        </w:rPr>
        <w:t xml:space="preserve">the </w:t>
      </w:r>
      <w:r w:rsidRPr="00D6438D">
        <w:rPr>
          <w:rFonts w:ascii="Times New Roman" w:hAnsi="Times New Roman"/>
          <w:lang w:val="en-GB"/>
        </w:rPr>
        <w:t>parent DU.</w:t>
      </w:r>
    </w:p>
    <w:p w14:paraId="663A8996" w14:textId="77823744" w:rsidR="006D5C9B" w:rsidRPr="00806522" w:rsidRDefault="006D5C9B" w:rsidP="006D5C9B">
      <w:pPr>
        <w:spacing w:beforeLines="50" w:before="120"/>
        <w:ind w:left="34"/>
        <w:rPr>
          <w:rFonts w:ascii="Times New Roman" w:hAnsi="Times New Roman"/>
          <w:b/>
          <w:lang w:val="en-GB"/>
        </w:rPr>
      </w:pPr>
      <w:r w:rsidRPr="00806522">
        <w:rPr>
          <w:rFonts w:ascii="Times New Roman" w:hAnsi="Times New Roman"/>
          <w:b/>
          <w:lang w:val="en-GB"/>
        </w:rPr>
        <w:t xml:space="preserve">Observation </w:t>
      </w:r>
      <w:r w:rsidR="000152F2">
        <w:rPr>
          <w:rFonts w:ascii="Times New Roman" w:hAnsi="Times New Roman"/>
          <w:b/>
          <w:lang w:val="en-GB"/>
        </w:rPr>
        <w:t>4</w:t>
      </w:r>
      <w:r w:rsidRPr="00806522">
        <w:rPr>
          <w:rFonts w:ascii="Times New Roman" w:hAnsi="Times New Roman"/>
          <w:b/>
          <w:lang w:val="en-GB"/>
        </w:rPr>
        <w:t xml:space="preserve">. </w:t>
      </w:r>
      <w:r>
        <w:rPr>
          <w:rFonts w:ascii="Times New Roman" w:hAnsi="Times New Roman"/>
          <w:b/>
          <w:lang w:val="en-GB"/>
        </w:rPr>
        <w:t>T</w:t>
      </w:r>
      <w:r w:rsidRPr="00806522">
        <w:rPr>
          <w:rFonts w:ascii="Times New Roman" w:hAnsi="Times New Roman"/>
          <w:b/>
          <w:lang w:val="en-GB"/>
        </w:rPr>
        <w:t xml:space="preserve">he parent IAB node cannot perform BAP routing for UL packets carrying child nodes’ TNL migration request </w:t>
      </w:r>
      <w:r w:rsidR="00D50C2E">
        <w:rPr>
          <w:rFonts w:ascii="Times New Roman" w:hAnsi="Times New Roman"/>
          <w:b/>
          <w:lang w:val="en-GB"/>
        </w:rPr>
        <w:t>by using the</w:t>
      </w:r>
      <w:r w:rsidR="00D50C2E" w:rsidRPr="00806522">
        <w:rPr>
          <w:rFonts w:ascii="Times New Roman" w:hAnsi="Times New Roman"/>
          <w:b/>
          <w:lang w:val="en-GB"/>
        </w:rPr>
        <w:t xml:space="preserve"> </w:t>
      </w:r>
      <w:r w:rsidRPr="00806522">
        <w:rPr>
          <w:rFonts w:ascii="Times New Roman" w:hAnsi="Times New Roman"/>
          <w:b/>
          <w:lang w:val="en-GB"/>
        </w:rPr>
        <w:t>new default BAP routing ID</w:t>
      </w:r>
      <w:r w:rsidR="00BA0B6E">
        <w:rPr>
          <w:rFonts w:ascii="Times New Roman" w:hAnsi="Times New Roman"/>
          <w:b/>
          <w:lang w:val="en-GB"/>
        </w:rPr>
        <w:t xml:space="preserve"> in header</w:t>
      </w:r>
      <w:r w:rsidRPr="00806522">
        <w:rPr>
          <w:rFonts w:ascii="Times New Roman" w:hAnsi="Times New Roman"/>
          <w:b/>
          <w:lang w:val="en-GB"/>
        </w:rPr>
        <w:t xml:space="preserve">, until </w:t>
      </w:r>
      <w:r w:rsidR="00BA0B6E">
        <w:rPr>
          <w:rFonts w:ascii="Times New Roman" w:hAnsi="Times New Roman"/>
          <w:b/>
          <w:lang w:val="en-GB"/>
        </w:rPr>
        <w:t>its</w:t>
      </w:r>
      <w:r w:rsidR="00BA0B6E" w:rsidRPr="00806522">
        <w:rPr>
          <w:rFonts w:ascii="Times New Roman" w:hAnsi="Times New Roman"/>
          <w:b/>
          <w:lang w:val="en-GB"/>
        </w:rPr>
        <w:t xml:space="preserve"> </w:t>
      </w:r>
      <w:r w:rsidRPr="00806522">
        <w:rPr>
          <w:rFonts w:ascii="Times New Roman" w:hAnsi="Times New Roman"/>
          <w:b/>
          <w:lang w:val="en-GB"/>
        </w:rPr>
        <w:t xml:space="preserve">BAP routing table is updated </w:t>
      </w:r>
      <w:r w:rsidR="00BA0B6E">
        <w:rPr>
          <w:rFonts w:ascii="Times New Roman" w:hAnsi="Times New Roman"/>
          <w:b/>
          <w:lang w:val="en-GB"/>
        </w:rPr>
        <w:t>accordingly by</w:t>
      </w:r>
      <w:r w:rsidRPr="00806522">
        <w:rPr>
          <w:rFonts w:ascii="Times New Roman" w:hAnsi="Times New Roman"/>
          <w:b/>
          <w:lang w:val="en-GB"/>
        </w:rPr>
        <w:t xml:space="preserve"> F1AP.</w:t>
      </w:r>
    </w:p>
    <w:p w14:paraId="6EBD26BE" w14:textId="598F1727" w:rsidR="006D5C9B" w:rsidRPr="00806522" w:rsidRDefault="006D5C9B" w:rsidP="006D5C9B">
      <w:pPr>
        <w:spacing w:beforeLines="50" w:before="120"/>
        <w:ind w:left="34"/>
        <w:rPr>
          <w:rFonts w:ascii="Times New Roman" w:hAnsi="Times New Roman"/>
          <w:b/>
          <w:lang w:val="en-GB"/>
        </w:rPr>
      </w:pPr>
      <w:r>
        <w:rPr>
          <w:rFonts w:ascii="Times New Roman" w:hAnsi="Times New Roman"/>
          <w:b/>
          <w:lang w:val="en-GB"/>
        </w:rPr>
        <w:t xml:space="preserve">Observation </w:t>
      </w:r>
      <w:r w:rsidR="000152F2">
        <w:rPr>
          <w:rFonts w:ascii="Times New Roman" w:hAnsi="Times New Roman"/>
          <w:b/>
          <w:lang w:val="en-GB"/>
        </w:rPr>
        <w:t>5</w:t>
      </w:r>
      <w:r>
        <w:rPr>
          <w:rFonts w:ascii="Times New Roman" w:hAnsi="Times New Roman"/>
          <w:b/>
          <w:lang w:val="en-GB"/>
        </w:rPr>
        <w:t xml:space="preserve">. For solution 1, each IAB-node should send the buffered </w:t>
      </w:r>
      <w:r w:rsidR="002E0661">
        <w:rPr>
          <w:rFonts w:ascii="Times New Roman" w:hAnsi="Times New Roman"/>
          <w:b/>
          <w:lang w:val="en-GB"/>
        </w:rPr>
        <w:t xml:space="preserve">RRCReconfiguration </w:t>
      </w:r>
      <w:r>
        <w:rPr>
          <w:rFonts w:ascii="Times New Roman" w:hAnsi="Times New Roman"/>
          <w:b/>
          <w:lang w:val="en-GB"/>
        </w:rPr>
        <w:t>to its child IAB-node</w:t>
      </w:r>
      <w:r w:rsidRPr="00806522">
        <w:rPr>
          <w:rFonts w:ascii="Times New Roman" w:hAnsi="Times New Roman"/>
          <w:b/>
          <w:lang w:val="en-GB"/>
        </w:rPr>
        <w:t xml:space="preserve"> </w:t>
      </w:r>
      <w:r w:rsidRPr="00882FBE">
        <w:rPr>
          <w:rFonts w:ascii="Times New Roman" w:hAnsi="Times New Roman"/>
          <w:b/>
          <w:lang w:val="en-GB"/>
        </w:rPr>
        <w:t xml:space="preserve">AFTER successful </w:t>
      </w:r>
      <w:r>
        <w:rPr>
          <w:rFonts w:ascii="Times New Roman" w:hAnsi="Times New Roman"/>
          <w:b/>
          <w:lang w:val="en-GB"/>
        </w:rPr>
        <w:t>TNL migration</w:t>
      </w:r>
      <w:r w:rsidRPr="00882FBE">
        <w:rPr>
          <w:rFonts w:ascii="Times New Roman" w:hAnsi="Times New Roman"/>
          <w:b/>
          <w:lang w:val="en-GB"/>
        </w:rPr>
        <w:t xml:space="preserve"> and F1 based BAP routing table reconfiguration</w:t>
      </w:r>
      <w:r w:rsidRPr="00806522">
        <w:rPr>
          <w:rFonts w:ascii="Times New Roman" w:hAnsi="Times New Roman"/>
          <w:b/>
          <w:lang w:val="en-GB"/>
        </w:rPr>
        <w:t>.</w:t>
      </w:r>
    </w:p>
    <w:p w14:paraId="0516DD10" w14:textId="50510D9B" w:rsidR="00EE41F5" w:rsidRDefault="00EE41F5" w:rsidP="005F2B05">
      <w:pPr>
        <w:spacing w:beforeLines="50" w:before="120"/>
        <w:ind w:left="34"/>
        <w:rPr>
          <w:rFonts w:ascii="Times New Roman" w:hAnsi="Times New Roman"/>
          <w:lang w:val="en-GB"/>
        </w:rPr>
      </w:pPr>
      <w:r>
        <w:rPr>
          <w:rFonts w:ascii="Times New Roman" w:hAnsi="Times New Roman"/>
          <w:lang w:val="en-GB"/>
        </w:rPr>
        <w:t xml:space="preserve">For solution 2, the </w:t>
      </w:r>
      <w:r w:rsidR="0035473F">
        <w:rPr>
          <w:rFonts w:ascii="Times New Roman" w:hAnsi="Times New Roman"/>
          <w:lang w:val="en-GB"/>
        </w:rPr>
        <w:t xml:space="preserve">situation is similar to </w:t>
      </w:r>
      <w:r w:rsidR="004C04F5">
        <w:rPr>
          <w:rFonts w:ascii="Times New Roman" w:hAnsi="Times New Roman"/>
          <w:lang w:val="en-GB"/>
        </w:rPr>
        <w:t>the</w:t>
      </w:r>
      <w:r w:rsidR="006D5C9B">
        <w:rPr>
          <w:rFonts w:ascii="Times New Roman" w:hAnsi="Times New Roman"/>
          <w:lang w:val="en-GB"/>
        </w:rPr>
        <w:t xml:space="preserve"> solution 1, each IAB node should not send the indication to its child IAB-node to trigger the execution of the RRCReconfiguration buffered at the child IAB node, until the BAP configuration is updated using the F1AP message received after the successful of the TNL migration for the IAB node. </w:t>
      </w:r>
      <w:r w:rsidR="00403E02">
        <w:rPr>
          <w:rFonts w:ascii="Times New Roman" w:hAnsi="Times New Roman"/>
          <w:lang w:val="en-GB"/>
        </w:rPr>
        <w:t xml:space="preserve">Otherwise, the TNL migration of the child node will fail due to the packets being discarded as unknown BAP data PDUs by the parent  node. </w:t>
      </w:r>
      <w:r w:rsidR="006D5C9B">
        <w:rPr>
          <w:rFonts w:ascii="Times New Roman" w:hAnsi="Times New Roman"/>
          <w:lang w:val="en-GB"/>
        </w:rPr>
        <w:t xml:space="preserve">Such condition is applicable to the migrating IAB node and its descendant nodes.  </w:t>
      </w:r>
      <w:r w:rsidR="004C04F5">
        <w:rPr>
          <w:rFonts w:ascii="Times New Roman" w:hAnsi="Times New Roman"/>
          <w:lang w:val="en-GB"/>
        </w:rPr>
        <w:t xml:space="preserve"> </w:t>
      </w:r>
    </w:p>
    <w:p w14:paraId="6194F525" w14:textId="6B86B7A7" w:rsidR="005F2B05" w:rsidRDefault="005F2B05" w:rsidP="005F2B05">
      <w:pPr>
        <w:spacing w:beforeLines="50" w:before="120"/>
        <w:ind w:left="34"/>
        <w:rPr>
          <w:rFonts w:ascii="Times New Roman" w:hAnsi="Times New Roman"/>
          <w:b/>
          <w:lang w:val="en-GB"/>
        </w:rPr>
      </w:pPr>
      <w:r w:rsidRPr="00882FBE">
        <w:rPr>
          <w:rFonts w:ascii="Times New Roman" w:hAnsi="Times New Roman"/>
          <w:b/>
          <w:lang w:val="en-GB"/>
        </w:rPr>
        <w:t xml:space="preserve">Observation </w:t>
      </w:r>
      <w:r w:rsidR="000152F2">
        <w:rPr>
          <w:rFonts w:ascii="Times New Roman" w:hAnsi="Times New Roman"/>
          <w:b/>
          <w:lang w:val="en-GB"/>
        </w:rPr>
        <w:t>6</w:t>
      </w:r>
      <w:r w:rsidRPr="00882FBE">
        <w:rPr>
          <w:rFonts w:ascii="Times New Roman" w:hAnsi="Times New Roman"/>
          <w:b/>
          <w:lang w:val="en-GB"/>
        </w:rPr>
        <w:t xml:space="preserve">: </w:t>
      </w:r>
      <w:r>
        <w:rPr>
          <w:rFonts w:ascii="Times New Roman" w:hAnsi="Times New Roman"/>
          <w:b/>
          <w:lang w:val="en-GB"/>
        </w:rPr>
        <w:t xml:space="preserve">For solution 2, </w:t>
      </w:r>
      <w:r w:rsidR="006D5C9B">
        <w:rPr>
          <w:rFonts w:ascii="Times New Roman" w:hAnsi="Times New Roman"/>
          <w:b/>
          <w:lang w:val="en-GB"/>
        </w:rPr>
        <w:t>each</w:t>
      </w:r>
      <w:r w:rsidRPr="00882FBE">
        <w:rPr>
          <w:rFonts w:ascii="Times New Roman" w:hAnsi="Times New Roman"/>
          <w:b/>
          <w:lang w:val="en-GB"/>
        </w:rPr>
        <w:t xml:space="preserve"> IAB-node should send the L2 indication</w:t>
      </w:r>
      <w:r w:rsidR="006D5C9B">
        <w:rPr>
          <w:rFonts w:ascii="Times New Roman" w:hAnsi="Times New Roman"/>
          <w:b/>
          <w:lang w:val="en-GB"/>
        </w:rPr>
        <w:t xml:space="preserve"> to its child IAB-node</w:t>
      </w:r>
      <w:r w:rsidRPr="00882FBE">
        <w:rPr>
          <w:rFonts w:ascii="Times New Roman" w:hAnsi="Times New Roman"/>
          <w:b/>
          <w:lang w:val="en-GB"/>
        </w:rPr>
        <w:t xml:space="preserve"> AFTER successful </w:t>
      </w:r>
      <w:r w:rsidR="006D5C9B">
        <w:rPr>
          <w:rFonts w:ascii="Times New Roman" w:hAnsi="Times New Roman"/>
          <w:b/>
          <w:lang w:val="en-GB"/>
        </w:rPr>
        <w:t>TNL migration</w:t>
      </w:r>
      <w:r w:rsidRPr="00882FBE">
        <w:rPr>
          <w:rFonts w:ascii="Times New Roman" w:hAnsi="Times New Roman"/>
          <w:b/>
          <w:lang w:val="en-GB"/>
        </w:rPr>
        <w:t xml:space="preserve"> and F1 based BAP routing table reconfiguration.</w:t>
      </w:r>
    </w:p>
    <w:p w14:paraId="22745998" w14:textId="1F9D6904" w:rsidR="008469EA" w:rsidRDefault="008469EA" w:rsidP="005F2B05">
      <w:pPr>
        <w:spacing w:beforeLines="50" w:before="120"/>
        <w:ind w:left="34"/>
        <w:rPr>
          <w:rFonts w:ascii="Times New Roman" w:hAnsi="Times New Roman"/>
          <w:b/>
          <w:lang w:val="en-GB"/>
        </w:rPr>
      </w:pPr>
      <w:r>
        <w:rPr>
          <w:rFonts w:ascii="Times New Roman" w:hAnsi="Times New Roman"/>
          <w:b/>
          <w:lang w:val="en-GB"/>
        </w:rPr>
        <w:t xml:space="preserve">Proposal </w:t>
      </w:r>
      <w:r w:rsidR="00CA759B">
        <w:rPr>
          <w:rFonts w:ascii="Times New Roman" w:hAnsi="Times New Roman"/>
          <w:b/>
          <w:lang w:val="en-GB"/>
        </w:rPr>
        <w:t>5</w:t>
      </w:r>
      <w:r>
        <w:rPr>
          <w:rFonts w:ascii="Times New Roman" w:hAnsi="Times New Roman"/>
          <w:b/>
          <w:lang w:val="en-GB"/>
        </w:rPr>
        <w:t>:</w:t>
      </w:r>
      <w:r w:rsidR="00CB4F73">
        <w:rPr>
          <w:rFonts w:ascii="Times New Roman" w:hAnsi="Times New Roman"/>
          <w:b/>
          <w:lang w:val="en-GB"/>
        </w:rPr>
        <w:t xml:space="preserve"> </w:t>
      </w:r>
      <w:r w:rsidR="00CB4F73" w:rsidRPr="00403E02">
        <w:rPr>
          <w:rFonts w:ascii="Times New Roman" w:hAnsi="Times New Roman"/>
          <w:b/>
          <w:lang w:val="en-GB"/>
        </w:rPr>
        <w:t xml:space="preserve">Regardless </w:t>
      </w:r>
      <w:r w:rsidR="00403E02" w:rsidRPr="00403E02">
        <w:rPr>
          <w:rFonts w:ascii="Times New Roman" w:hAnsi="Times New Roman"/>
          <w:b/>
          <w:lang w:val="en-GB"/>
        </w:rPr>
        <w:t xml:space="preserve">of solution </w:t>
      </w:r>
      <w:r w:rsidR="00CB4F73" w:rsidRPr="00403E02">
        <w:rPr>
          <w:rFonts w:ascii="Times New Roman" w:hAnsi="Times New Roman"/>
          <w:b/>
          <w:lang w:val="en-GB"/>
        </w:rPr>
        <w:t>1 or sol</w:t>
      </w:r>
      <w:r w:rsidR="00403E02" w:rsidRPr="00403E02">
        <w:rPr>
          <w:rFonts w:ascii="Times New Roman" w:hAnsi="Times New Roman"/>
          <w:b/>
          <w:lang w:val="en-GB"/>
        </w:rPr>
        <w:t xml:space="preserve">ution </w:t>
      </w:r>
      <w:r w:rsidR="00F67EAF">
        <w:rPr>
          <w:rFonts w:ascii="Times New Roman" w:hAnsi="Times New Roman"/>
          <w:b/>
          <w:lang w:val="en-GB"/>
        </w:rPr>
        <w:t>2, the RRCReconfigura</w:t>
      </w:r>
      <w:r w:rsidR="00CB4F73" w:rsidRPr="00403E02">
        <w:rPr>
          <w:rFonts w:ascii="Times New Roman" w:hAnsi="Times New Roman"/>
          <w:b/>
          <w:lang w:val="en-GB"/>
        </w:rPr>
        <w:t>t</w:t>
      </w:r>
      <w:r w:rsidR="00F67EAF">
        <w:rPr>
          <w:rFonts w:ascii="Times New Roman" w:hAnsi="Times New Roman"/>
          <w:b/>
          <w:lang w:val="en-GB"/>
        </w:rPr>
        <w:t>i</w:t>
      </w:r>
      <w:r w:rsidR="00CB4F73" w:rsidRPr="00403E02">
        <w:rPr>
          <w:rFonts w:ascii="Times New Roman" w:hAnsi="Times New Roman"/>
          <w:b/>
          <w:lang w:val="en-GB"/>
        </w:rPr>
        <w:t xml:space="preserve">on to child MT should </w:t>
      </w:r>
      <w:r w:rsidR="00403E02" w:rsidRPr="00403E02">
        <w:rPr>
          <w:rFonts w:ascii="Times New Roman" w:hAnsi="Times New Roman"/>
          <w:b/>
          <w:lang w:val="en-GB"/>
        </w:rPr>
        <w:t>be applied</w:t>
      </w:r>
      <w:r w:rsidR="00CB4F73" w:rsidRPr="00403E02">
        <w:rPr>
          <w:rFonts w:ascii="Times New Roman" w:hAnsi="Times New Roman"/>
          <w:b/>
          <w:lang w:val="en-GB"/>
        </w:rPr>
        <w:t xml:space="preserve"> (</w:t>
      </w:r>
      <w:r w:rsidR="00403E02" w:rsidRPr="00403E02">
        <w:rPr>
          <w:rFonts w:ascii="Times New Roman" w:hAnsi="Times New Roman"/>
          <w:b/>
          <w:lang w:val="en-GB"/>
        </w:rPr>
        <w:t xml:space="preserve">i.e. </w:t>
      </w:r>
      <w:r w:rsidR="00CB4F73" w:rsidRPr="00403E02">
        <w:rPr>
          <w:rFonts w:ascii="Times New Roman" w:hAnsi="Times New Roman"/>
          <w:b/>
          <w:lang w:val="en-GB"/>
        </w:rPr>
        <w:t xml:space="preserve">sent to child in sol.1 or </w:t>
      </w:r>
      <w:r w:rsidR="00403E02" w:rsidRPr="00403E02">
        <w:rPr>
          <w:rFonts w:ascii="Times New Roman" w:hAnsi="Times New Roman"/>
          <w:b/>
          <w:lang w:val="en-GB"/>
        </w:rPr>
        <w:t xml:space="preserve">executed based on </w:t>
      </w:r>
      <w:r w:rsidR="00CB4F73" w:rsidRPr="00403E02">
        <w:rPr>
          <w:rFonts w:ascii="Times New Roman" w:hAnsi="Times New Roman"/>
          <w:b/>
          <w:lang w:val="en-GB"/>
        </w:rPr>
        <w:t xml:space="preserve">L2 indication to child in sol.2), after the migrating IAB-node is reconfigured with the BAP routing via F1AP, rather than </w:t>
      </w:r>
      <w:r w:rsidR="00403E02" w:rsidRPr="00403E02">
        <w:rPr>
          <w:rFonts w:ascii="Times New Roman" w:hAnsi="Times New Roman"/>
          <w:b/>
          <w:lang w:val="en-GB"/>
        </w:rPr>
        <w:t xml:space="preserve">just </w:t>
      </w:r>
      <w:r w:rsidR="00CB4F73" w:rsidRPr="00403E02">
        <w:rPr>
          <w:rFonts w:ascii="Times New Roman" w:hAnsi="Times New Roman"/>
          <w:b/>
          <w:lang w:val="en-GB"/>
        </w:rPr>
        <w:t>after the RA success of migrating IAB-node.</w:t>
      </w:r>
    </w:p>
    <w:p w14:paraId="23B630EF" w14:textId="2FEDAD88" w:rsidR="008013F5" w:rsidRDefault="008013F5" w:rsidP="008013F5">
      <w:pPr>
        <w:spacing w:beforeLines="50" w:before="120"/>
        <w:ind w:left="34"/>
        <w:rPr>
          <w:rFonts w:ascii="Times New Roman" w:hAnsi="Times New Roman"/>
          <w:lang w:val="en-GB"/>
        </w:rPr>
      </w:pPr>
      <w:r>
        <w:rPr>
          <w:rFonts w:ascii="Times New Roman" w:hAnsi="Times New Roman"/>
          <w:lang w:val="en-GB"/>
        </w:rPr>
        <w:t xml:space="preserve">Furthermore, we also see some additional technical issues for the two solutions. </w:t>
      </w:r>
    </w:p>
    <w:p w14:paraId="1A4A76EC" w14:textId="60D50F83" w:rsidR="008013F5" w:rsidRPr="005A41CD" w:rsidRDefault="008013F5" w:rsidP="008013F5">
      <w:pPr>
        <w:ind w:left="34"/>
        <w:rPr>
          <w:rFonts w:ascii="Times New Roman" w:hAnsi="Times New Roman"/>
          <w:u w:val="single"/>
          <w:lang w:val="en-GB"/>
        </w:rPr>
      </w:pPr>
      <w:r w:rsidRPr="008E30C7">
        <w:rPr>
          <w:rFonts w:ascii="Times New Roman" w:hAnsi="Times New Roman"/>
          <w:b/>
          <w:u w:val="single"/>
          <w:lang w:val="en-GB"/>
        </w:rPr>
        <w:t>Issue 1</w:t>
      </w:r>
      <w:r w:rsidR="006D5E08" w:rsidRPr="008E30C7">
        <w:rPr>
          <w:rFonts w:ascii="Times New Roman" w:hAnsi="Times New Roman"/>
          <w:b/>
          <w:u w:val="single"/>
          <w:lang w:val="en-GB"/>
        </w:rPr>
        <w:t xml:space="preserve"> for solution 1</w:t>
      </w:r>
      <w:r w:rsidRPr="005A41CD">
        <w:rPr>
          <w:rFonts w:ascii="Times New Roman" w:hAnsi="Times New Roman"/>
          <w:u w:val="single"/>
          <w:lang w:val="en-GB"/>
        </w:rPr>
        <w:t xml:space="preserve">: How to handle the buffered RRCReconfiguration in each parent DU, if the </w:t>
      </w:r>
      <w:r w:rsidR="00D13F69" w:rsidRPr="005A41CD">
        <w:rPr>
          <w:rFonts w:ascii="Times New Roman" w:hAnsi="Times New Roman"/>
          <w:u w:val="single"/>
          <w:lang w:val="en-GB"/>
        </w:rPr>
        <w:t>migrating</w:t>
      </w:r>
      <w:r w:rsidRPr="005A41CD">
        <w:rPr>
          <w:rFonts w:ascii="Times New Roman" w:hAnsi="Times New Roman"/>
          <w:u w:val="single"/>
          <w:lang w:val="en-GB"/>
        </w:rPr>
        <w:t xml:space="preserve"> IAB node fails its </w:t>
      </w:r>
      <w:r w:rsidR="00F462AC" w:rsidRPr="005A41CD">
        <w:rPr>
          <w:rFonts w:ascii="Times New Roman" w:hAnsi="Times New Roman"/>
          <w:u w:val="single"/>
          <w:lang w:val="en-GB"/>
        </w:rPr>
        <w:t>handover</w:t>
      </w:r>
      <w:r w:rsidRPr="005A41CD">
        <w:rPr>
          <w:rFonts w:ascii="Times New Roman" w:hAnsi="Times New Roman" w:hint="eastAsia"/>
          <w:u w:val="single"/>
          <w:lang w:val="en-GB"/>
        </w:rPr>
        <w:t>？</w:t>
      </w:r>
    </w:p>
    <w:p w14:paraId="557ADFED" w14:textId="03D28485" w:rsidR="008013F5" w:rsidRDefault="008013F5" w:rsidP="008013F5">
      <w:pPr>
        <w:ind w:left="34"/>
        <w:rPr>
          <w:rFonts w:ascii="Times New Roman" w:hAnsi="Times New Roman"/>
          <w:lang w:val="en-GB"/>
        </w:rPr>
      </w:pPr>
      <w:r>
        <w:rPr>
          <w:rFonts w:ascii="Times New Roman" w:hAnsi="Times New Roman"/>
          <w:lang w:val="en-GB"/>
        </w:rPr>
        <w:t>There may be some possible solutions</w:t>
      </w:r>
      <w:r w:rsidR="006D5E08">
        <w:rPr>
          <w:rFonts w:ascii="Times New Roman" w:hAnsi="Times New Roman"/>
          <w:lang w:val="en-GB"/>
        </w:rPr>
        <w:t xml:space="preserve"> for this issue 1</w:t>
      </w:r>
      <w:r>
        <w:rPr>
          <w:rFonts w:ascii="Times New Roman" w:hAnsi="Times New Roman"/>
          <w:lang w:val="en-GB"/>
        </w:rPr>
        <w:t>. For example, if the parent DU still send the buffered RRCReconfiguration to the child IAB node, then the child node will try TNL migration using such RRCReconfiguration, but apparently, such attempt of TNL migration makes no sense but just a waste of wireless BH transmission resource, because the TNL migration will fail finally since the target path is not ready.</w:t>
      </w:r>
    </w:p>
    <w:p w14:paraId="5B033517" w14:textId="3C15430B" w:rsidR="008013F5" w:rsidRDefault="008013F5" w:rsidP="008013F5">
      <w:pPr>
        <w:ind w:left="34"/>
        <w:rPr>
          <w:rFonts w:ascii="Times New Roman" w:hAnsi="Times New Roman"/>
          <w:lang w:val="en-GB"/>
        </w:rPr>
      </w:pPr>
      <w:r>
        <w:rPr>
          <w:rFonts w:ascii="Times New Roman" w:hAnsi="Times New Roman"/>
          <w:lang w:val="en-GB"/>
        </w:rPr>
        <w:t>Alternatively, if the parent DU send some dummy message instead of the buffered RRCReconfiguration to child node, the child node will perform RRCReestablishment since the integrity check of such dummy message will fail and the integrity check fail of SRB will cause RRCReestablishment.</w:t>
      </w:r>
    </w:p>
    <w:p w14:paraId="16B9C3F5" w14:textId="51132143" w:rsidR="008013F5" w:rsidRDefault="008013F5" w:rsidP="008013F5">
      <w:pPr>
        <w:ind w:left="34"/>
        <w:rPr>
          <w:rFonts w:ascii="Times New Roman" w:hAnsi="Times New Roman"/>
          <w:lang w:val="en-GB"/>
        </w:rPr>
      </w:pPr>
      <w:r>
        <w:rPr>
          <w:rFonts w:ascii="Times New Roman" w:hAnsi="Times New Roman"/>
          <w:lang w:val="en-GB"/>
        </w:rPr>
        <w:t>Another possible solution is that the parent DU may discard the buffered RRCReconfiguration, but this will cause PDCP SN gap and will result in the consequent RRC messages not being able to be delivered in time due to the PDCP re-ordering mechanism.</w:t>
      </w:r>
    </w:p>
    <w:p w14:paraId="58ABC83D" w14:textId="08B941D8" w:rsidR="008013F5" w:rsidRDefault="008013F5" w:rsidP="008013F5">
      <w:pPr>
        <w:ind w:left="34"/>
        <w:rPr>
          <w:rFonts w:ascii="Times New Roman" w:hAnsi="Times New Roman"/>
          <w:lang w:val="en-GB"/>
        </w:rPr>
      </w:pPr>
      <w:r>
        <w:rPr>
          <w:rFonts w:ascii="Times New Roman" w:hAnsi="Times New Roman"/>
          <w:lang w:val="en-GB"/>
        </w:rPr>
        <w:t>It seems none of the above three solutions is suitable for the issue of how to handle the buffered RRCReconfiguration if the</w:t>
      </w:r>
      <w:r w:rsidRPr="006D7E5B">
        <w:rPr>
          <w:rFonts w:ascii="Times New Roman" w:hAnsi="Times New Roman"/>
          <w:lang w:val="en-GB"/>
        </w:rPr>
        <w:t xml:space="preserve"> </w:t>
      </w:r>
      <w:r w:rsidR="00F462AC">
        <w:rPr>
          <w:rFonts w:ascii="Times New Roman" w:hAnsi="Times New Roman"/>
          <w:lang w:val="en-GB"/>
        </w:rPr>
        <w:t>migrating</w:t>
      </w:r>
      <w:r>
        <w:rPr>
          <w:rFonts w:ascii="Times New Roman" w:hAnsi="Times New Roman"/>
          <w:lang w:val="en-GB"/>
        </w:rPr>
        <w:t xml:space="preserve"> IAB node fails HO. </w:t>
      </w:r>
    </w:p>
    <w:p w14:paraId="67B22305" w14:textId="61780FDA" w:rsidR="008013F5" w:rsidRPr="00F462AC" w:rsidRDefault="008013F5" w:rsidP="008013F5">
      <w:pPr>
        <w:spacing w:after="0"/>
        <w:ind w:left="34"/>
        <w:rPr>
          <w:rFonts w:ascii="Times New Roman" w:hAnsi="Times New Roman"/>
          <w:b/>
          <w:lang w:val="en-GB"/>
        </w:rPr>
      </w:pPr>
      <w:r w:rsidRPr="00F462AC">
        <w:rPr>
          <w:rFonts w:ascii="Times New Roman" w:hAnsi="Times New Roman"/>
          <w:b/>
          <w:lang w:val="en-GB"/>
        </w:rPr>
        <w:t xml:space="preserve">Observation </w:t>
      </w:r>
      <w:r w:rsidR="000152F2">
        <w:rPr>
          <w:rFonts w:ascii="Times New Roman" w:hAnsi="Times New Roman"/>
          <w:b/>
          <w:lang w:val="en-GB"/>
        </w:rPr>
        <w:t>7</w:t>
      </w:r>
      <w:r w:rsidRPr="00F462AC">
        <w:rPr>
          <w:rFonts w:ascii="Times New Roman" w:hAnsi="Times New Roman" w:hint="eastAsia"/>
          <w:b/>
          <w:lang w:val="en-GB"/>
        </w:rPr>
        <w:t>：</w:t>
      </w:r>
      <w:r w:rsidR="002E0661">
        <w:rPr>
          <w:rFonts w:ascii="Times New Roman" w:hAnsi="Times New Roman" w:hint="eastAsia"/>
          <w:b/>
          <w:lang w:val="en-GB"/>
        </w:rPr>
        <w:t>F</w:t>
      </w:r>
      <w:r w:rsidR="002E0661">
        <w:rPr>
          <w:rFonts w:ascii="Times New Roman" w:hAnsi="Times New Roman"/>
          <w:b/>
          <w:lang w:val="en-GB"/>
        </w:rPr>
        <w:t>or solution 1, i</w:t>
      </w:r>
      <w:r w:rsidRPr="00F462AC">
        <w:rPr>
          <w:rFonts w:ascii="Times New Roman" w:hAnsi="Times New Roman"/>
          <w:b/>
          <w:lang w:val="en-GB"/>
        </w:rPr>
        <w:t>n case migrating IAB-</w:t>
      </w:r>
      <w:r w:rsidR="00BA0B6E">
        <w:rPr>
          <w:rFonts w:ascii="Times New Roman" w:hAnsi="Times New Roman"/>
          <w:b/>
          <w:lang w:val="en-GB"/>
        </w:rPr>
        <w:t>MT’s</w:t>
      </w:r>
      <w:r w:rsidR="00BA0B6E" w:rsidRPr="00F462AC">
        <w:rPr>
          <w:rFonts w:ascii="Times New Roman" w:hAnsi="Times New Roman"/>
          <w:b/>
          <w:lang w:val="en-GB"/>
        </w:rPr>
        <w:t xml:space="preserve"> </w:t>
      </w:r>
      <w:r w:rsidRPr="00F462AC">
        <w:rPr>
          <w:rFonts w:ascii="Times New Roman" w:hAnsi="Times New Roman"/>
          <w:b/>
          <w:lang w:val="en-GB"/>
        </w:rPr>
        <w:t>HO fails</w:t>
      </w:r>
      <w:r w:rsidRPr="00F462AC">
        <w:rPr>
          <w:rFonts w:ascii="Times New Roman" w:hAnsi="Times New Roman" w:hint="eastAsia"/>
          <w:b/>
          <w:lang w:val="en-GB"/>
        </w:rPr>
        <w:t>：</w:t>
      </w:r>
    </w:p>
    <w:p w14:paraId="35C10816" w14:textId="1BA2F54B" w:rsidR="008013F5" w:rsidRPr="00F462AC" w:rsidRDefault="00D13F69" w:rsidP="008013F5">
      <w:pPr>
        <w:pStyle w:val="af8"/>
        <w:numPr>
          <w:ilvl w:val="0"/>
          <w:numId w:val="26"/>
        </w:numPr>
        <w:spacing w:beforeLines="50" w:before="120"/>
        <w:ind w:left="987"/>
        <w:rPr>
          <w:rFonts w:ascii="Times New Roman" w:hAnsi="Times New Roman"/>
          <w:b/>
          <w:sz w:val="20"/>
          <w:lang w:val="en-GB"/>
        </w:rPr>
      </w:pPr>
      <w:r w:rsidRPr="00F462AC">
        <w:rPr>
          <w:rFonts w:ascii="Times New Roman" w:hAnsi="Times New Roman"/>
          <w:b/>
          <w:sz w:val="20"/>
          <w:lang w:val="en-GB"/>
        </w:rPr>
        <w:t>If</w:t>
      </w:r>
      <w:r w:rsidR="008013F5" w:rsidRPr="00F462AC">
        <w:rPr>
          <w:rFonts w:ascii="Times New Roman" w:hAnsi="Times New Roman"/>
          <w:b/>
          <w:sz w:val="20"/>
          <w:lang w:val="en-GB"/>
        </w:rPr>
        <w:t xml:space="preserve"> migrating IAB-node still sends the buffered RRC reconfiguration message, it will </w:t>
      </w:r>
      <w:r w:rsidR="002E0661">
        <w:rPr>
          <w:rFonts w:ascii="Times New Roman" w:hAnsi="Times New Roman"/>
          <w:b/>
          <w:sz w:val="20"/>
          <w:lang w:val="en-GB"/>
        </w:rPr>
        <w:t>make</w:t>
      </w:r>
      <w:r w:rsidR="008013F5" w:rsidRPr="00F462AC">
        <w:rPr>
          <w:rFonts w:ascii="Times New Roman" w:hAnsi="Times New Roman"/>
          <w:b/>
          <w:sz w:val="20"/>
          <w:lang w:val="en-GB"/>
        </w:rPr>
        <w:t xml:space="preserve"> child </w:t>
      </w:r>
      <w:r w:rsidR="00F462AC" w:rsidRPr="00F462AC">
        <w:rPr>
          <w:rFonts w:ascii="Times New Roman" w:hAnsi="Times New Roman"/>
          <w:b/>
          <w:sz w:val="20"/>
          <w:lang w:val="en-GB"/>
        </w:rPr>
        <w:t xml:space="preserve">IAB node </w:t>
      </w:r>
      <w:r w:rsidR="008013F5" w:rsidRPr="00F462AC">
        <w:rPr>
          <w:rFonts w:ascii="Times New Roman" w:hAnsi="Times New Roman"/>
          <w:b/>
          <w:sz w:val="20"/>
          <w:lang w:val="en-GB"/>
        </w:rPr>
        <w:t>to trigger TNL migration</w:t>
      </w:r>
      <w:r w:rsidR="002E0661">
        <w:rPr>
          <w:rFonts w:ascii="Times New Roman" w:hAnsi="Times New Roman"/>
          <w:b/>
          <w:sz w:val="20"/>
          <w:lang w:val="en-GB"/>
        </w:rPr>
        <w:t xml:space="preserve"> incorrectly</w:t>
      </w:r>
      <w:r w:rsidR="008013F5" w:rsidRPr="00F462AC">
        <w:rPr>
          <w:rFonts w:ascii="Times New Roman" w:hAnsi="Times New Roman"/>
          <w:b/>
          <w:sz w:val="20"/>
          <w:lang w:val="en-GB"/>
        </w:rPr>
        <w:t xml:space="preserve">. </w:t>
      </w:r>
    </w:p>
    <w:p w14:paraId="4960115A" w14:textId="4DB2B35A" w:rsidR="008013F5" w:rsidRPr="00F462AC" w:rsidRDefault="00F462AC" w:rsidP="008013F5">
      <w:pPr>
        <w:pStyle w:val="af8"/>
        <w:numPr>
          <w:ilvl w:val="0"/>
          <w:numId w:val="26"/>
        </w:numPr>
        <w:spacing w:beforeLines="50" w:before="120"/>
        <w:ind w:left="987"/>
        <w:rPr>
          <w:rFonts w:ascii="Times New Roman" w:hAnsi="Times New Roman"/>
          <w:b/>
          <w:sz w:val="20"/>
          <w:lang w:val="en-GB"/>
        </w:rPr>
      </w:pPr>
      <w:r w:rsidRPr="00F462AC">
        <w:rPr>
          <w:rFonts w:ascii="Times New Roman" w:hAnsi="Times New Roman"/>
          <w:b/>
          <w:sz w:val="20"/>
          <w:lang w:val="en-GB"/>
        </w:rPr>
        <w:t xml:space="preserve">Else </w:t>
      </w:r>
      <w:r w:rsidR="008013F5" w:rsidRPr="00F462AC">
        <w:rPr>
          <w:rFonts w:ascii="Times New Roman" w:hAnsi="Times New Roman"/>
          <w:b/>
          <w:sz w:val="20"/>
          <w:lang w:val="en-GB"/>
        </w:rPr>
        <w:t>if migrating IAB-node discards the buffered RRC reconfiguration message, it will cause the PDCP SN gap in PDCP layer a</w:t>
      </w:r>
      <w:r w:rsidRPr="00F462AC">
        <w:rPr>
          <w:rFonts w:ascii="Times New Roman" w:hAnsi="Times New Roman"/>
          <w:b/>
          <w:sz w:val="20"/>
          <w:lang w:val="en-GB"/>
        </w:rPr>
        <w:t>nd</w:t>
      </w:r>
      <w:r w:rsidR="002E0661">
        <w:rPr>
          <w:rFonts w:ascii="Times New Roman" w:hAnsi="Times New Roman"/>
          <w:b/>
          <w:sz w:val="20"/>
          <w:lang w:val="en-GB"/>
        </w:rPr>
        <w:t xml:space="preserve"> the delivery of subsequent </w:t>
      </w:r>
      <w:r w:rsidR="00641ED0">
        <w:rPr>
          <w:rFonts w:ascii="Times New Roman" w:hAnsi="Times New Roman"/>
          <w:b/>
          <w:sz w:val="20"/>
          <w:lang w:val="en-GB"/>
        </w:rPr>
        <w:t>RRC messages may not be possible</w:t>
      </w:r>
      <w:r w:rsidRPr="00F462AC">
        <w:rPr>
          <w:rFonts w:ascii="Times New Roman" w:hAnsi="Times New Roman"/>
          <w:b/>
          <w:sz w:val="20"/>
          <w:lang w:val="en-GB" w:eastAsia="zh-CN"/>
        </w:rPr>
        <w:t>.</w:t>
      </w:r>
    </w:p>
    <w:p w14:paraId="05868FFA" w14:textId="4D007E33" w:rsidR="008013F5" w:rsidRPr="005A41CD" w:rsidRDefault="008013F5" w:rsidP="00D13F69">
      <w:pPr>
        <w:spacing w:beforeLines="50" w:before="120"/>
        <w:ind w:left="34"/>
        <w:rPr>
          <w:rFonts w:ascii="Times New Roman" w:hAnsi="Times New Roman"/>
          <w:u w:val="single"/>
          <w:lang w:val="en-GB"/>
        </w:rPr>
      </w:pPr>
      <w:r w:rsidRPr="008E30C7">
        <w:rPr>
          <w:rFonts w:ascii="Times New Roman" w:hAnsi="Times New Roman"/>
          <w:b/>
          <w:u w:val="single"/>
          <w:lang w:val="en-GB"/>
        </w:rPr>
        <w:t>Issue 2</w:t>
      </w:r>
      <w:r w:rsidR="006D5E08" w:rsidRPr="008E30C7">
        <w:rPr>
          <w:rFonts w:ascii="Times New Roman" w:hAnsi="Times New Roman"/>
          <w:b/>
          <w:u w:val="single"/>
          <w:lang w:val="en-GB"/>
        </w:rPr>
        <w:t xml:space="preserve"> for solution 1</w:t>
      </w:r>
      <w:r w:rsidRPr="005A41CD">
        <w:rPr>
          <w:rFonts w:ascii="Times New Roman" w:hAnsi="Times New Roman"/>
          <w:u w:val="single"/>
          <w:lang w:val="en-GB"/>
        </w:rPr>
        <w:t>: RRC configuration mismatch</w:t>
      </w:r>
    </w:p>
    <w:p w14:paraId="164E1AFA" w14:textId="63B453E4" w:rsidR="008013F5" w:rsidRDefault="008013F5" w:rsidP="008013F5">
      <w:pPr>
        <w:rPr>
          <w:rFonts w:ascii="Times New Roman" w:hAnsi="Times New Roman"/>
          <w:lang w:val="en-GB"/>
        </w:rPr>
      </w:pPr>
      <w:r>
        <w:rPr>
          <w:rFonts w:ascii="Times New Roman" w:hAnsi="Times New Roman"/>
          <w:lang w:val="en-GB"/>
        </w:rPr>
        <w:t xml:space="preserve">In case CU sends a new RRCReconfiguration message to the child node after the buffered RRCReconfiguration, the new RRCReconfiguration message will be delivered to </w:t>
      </w:r>
      <w:r w:rsidR="005A41CD">
        <w:rPr>
          <w:rFonts w:ascii="Times New Roman" w:hAnsi="Times New Roman"/>
          <w:lang w:val="en-GB"/>
        </w:rPr>
        <w:t xml:space="preserve">the child node’s </w:t>
      </w:r>
      <w:r>
        <w:rPr>
          <w:rFonts w:ascii="Times New Roman" w:hAnsi="Times New Roman"/>
          <w:lang w:val="en-GB"/>
        </w:rPr>
        <w:t>RRC layer once the PDCP reorder timer expires. There will be RRC configuration mismatch due to the missing of the buffered RRCReconfiguration message.</w:t>
      </w:r>
    </w:p>
    <w:p w14:paraId="1465A3D2" w14:textId="7E3E4230" w:rsidR="008013F5" w:rsidRPr="005A41CD" w:rsidRDefault="005A41CD" w:rsidP="005A41CD">
      <w:pPr>
        <w:spacing w:beforeLines="50" w:before="120"/>
        <w:ind w:left="34"/>
        <w:rPr>
          <w:rFonts w:ascii="Times New Roman" w:hAnsi="Times New Roman"/>
          <w:b/>
          <w:u w:val="single"/>
          <w:lang w:val="en-GB"/>
        </w:rPr>
      </w:pPr>
      <w:r w:rsidRPr="00F462AC">
        <w:rPr>
          <w:rFonts w:ascii="Times New Roman" w:hAnsi="Times New Roman"/>
          <w:b/>
          <w:lang w:val="en-GB"/>
        </w:rPr>
        <w:t xml:space="preserve">Observation </w:t>
      </w:r>
      <w:r w:rsidR="000152F2">
        <w:rPr>
          <w:rFonts w:ascii="Times New Roman" w:hAnsi="Times New Roman"/>
          <w:b/>
          <w:lang w:val="en-GB"/>
        </w:rPr>
        <w:t>8</w:t>
      </w:r>
      <w:r w:rsidRPr="00F462AC">
        <w:rPr>
          <w:rFonts w:ascii="Times New Roman" w:hAnsi="Times New Roman" w:hint="eastAsia"/>
          <w:b/>
          <w:lang w:val="en-GB"/>
        </w:rPr>
        <w:t>：</w:t>
      </w:r>
      <w:r w:rsidRPr="005A41CD">
        <w:rPr>
          <w:rFonts w:ascii="Times New Roman" w:hAnsi="Times New Roman"/>
          <w:b/>
          <w:lang w:val="en-GB"/>
        </w:rPr>
        <w:t>In case CU sends a new RRCReconfiguration message to the child node after the buffered RRCReconfiguration</w:t>
      </w:r>
      <w:r w:rsidR="00BA0B6E">
        <w:rPr>
          <w:rFonts w:ascii="Times New Roman" w:hAnsi="Times New Roman"/>
          <w:b/>
          <w:lang w:val="en-GB"/>
        </w:rPr>
        <w:t xml:space="preserve"> message</w:t>
      </w:r>
      <w:r w:rsidRPr="005A41CD">
        <w:rPr>
          <w:rFonts w:ascii="Times New Roman" w:hAnsi="Times New Roman"/>
          <w:b/>
          <w:lang w:val="en-GB"/>
        </w:rPr>
        <w:t xml:space="preserve">, the new RRCReconfiguration message will be delivered to the child </w:t>
      </w:r>
      <w:r w:rsidR="00BA0B6E">
        <w:rPr>
          <w:rFonts w:ascii="Times New Roman" w:hAnsi="Times New Roman"/>
          <w:b/>
          <w:lang w:val="en-GB"/>
        </w:rPr>
        <w:t>IAB-MT</w:t>
      </w:r>
      <w:r w:rsidRPr="005A41CD">
        <w:rPr>
          <w:rFonts w:ascii="Times New Roman" w:hAnsi="Times New Roman"/>
          <w:b/>
          <w:lang w:val="en-GB"/>
        </w:rPr>
        <w:t xml:space="preserve">’s RRC layer once </w:t>
      </w:r>
      <w:r w:rsidR="00BA0B6E">
        <w:rPr>
          <w:rFonts w:ascii="Times New Roman" w:hAnsi="Times New Roman"/>
          <w:b/>
          <w:lang w:val="en-GB"/>
        </w:rPr>
        <w:t>its</w:t>
      </w:r>
      <w:r w:rsidR="00BA0B6E" w:rsidRPr="005A41CD">
        <w:rPr>
          <w:rFonts w:ascii="Times New Roman" w:hAnsi="Times New Roman"/>
          <w:b/>
          <w:lang w:val="en-GB"/>
        </w:rPr>
        <w:t xml:space="preserve"> </w:t>
      </w:r>
      <w:r w:rsidRPr="005A41CD">
        <w:rPr>
          <w:rFonts w:ascii="Times New Roman" w:hAnsi="Times New Roman"/>
          <w:b/>
          <w:lang w:val="en-GB"/>
        </w:rPr>
        <w:t>PDCP reorder timer expires</w:t>
      </w:r>
      <w:r w:rsidR="00BA0B6E">
        <w:rPr>
          <w:rFonts w:ascii="Times New Roman" w:hAnsi="Times New Roman"/>
          <w:b/>
          <w:lang w:val="en-GB"/>
        </w:rPr>
        <w:t xml:space="preserve">, while the previous </w:t>
      </w:r>
      <w:r w:rsidR="00BA0B6E" w:rsidRPr="005A41CD">
        <w:rPr>
          <w:rFonts w:ascii="Times New Roman" w:hAnsi="Times New Roman"/>
          <w:b/>
          <w:lang w:val="en-GB"/>
        </w:rPr>
        <w:t>RRCReconfiguration message</w:t>
      </w:r>
      <w:r w:rsidR="00BA0B6E">
        <w:rPr>
          <w:rFonts w:ascii="Times New Roman" w:hAnsi="Times New Roman"/>
          <w:b/>
          <w:lang w:val="en-GB"/>
        </w:rPr>
        <w:t xml:space="preserve"> is still buffered at parent node</w:t>
      </w:r>
      <w:r w:rsidRPr="005A41CD">
        <w:rPr>
          <w:rFonts w:ascii="Times New Roman" w:hAnsi="Times New Roman"/>
          <w:b/>
          <w:lang w:val="en-GB"/>
        </w:rPr>
        <w:t xml:space="preserve">. There will be RRC configuration mismatch </w:t>
      </w:r>
      <w:r w:rsidR="00BA0B6E">
        <w:rPr>
          <w:rFonts w:ascii="Times New Roman" w:hAnsi="Times New Roman"/>
          <w:b/>
          <w:lang w:val="en-GB"/>
        </w:rPr>
        <w:t xml:space="preserve">between child IAB-MT and CU, </w:t>
      </w:r>
      <w:r w:rsidRPr="005A41CD">
        <w:rPr>
          <w:rFonts w:ascii="Times New Roman" w:hAnsi="Times New Roman"/>
          <w:b/>
          <w:lang w:val="en-GB"/>
        </w:rPr>
        <w:t>due to the missing of the buffered RRCReconfiguration message.</w:t>
      </w:r>
    </w:p>
    <w:p w14:paraId="3C19F7CB" w14:textId="2D1927ED" w:rsidR="00262072" w:rsidRPr="00262072" w:rsidRDefault="00262072" w:rsidP="00262072">
      <w:pPr>
        <w:spacing w:beforeLines="50" w:before="120"/>
        <w:ind w:left="34"/>
        <w:rPr>
          <w:rFonts w:ascii="Times New Roman" w:hAnsi="Times New Roman"/>
          <w:lang w:val="en-GB"/>
        </w:rPr>
      </w:pPr>
      <w:r w:rsidRPr="00262072">
        <w:rPr>
          <w:rFonts w:ascii="Times New Roman" w:hAnsi="Times New Roman"/>
          <w:lang w:val="en-GB"/>
        </w:rPr>
        <w:t>Based on the analysis of the two solutions, solution 1 still has some tricky issues to be solved, while solution 2 only requires very limited standardization efforts</w:t>
      </w:r>
      <w:r w:rsidR="00396969">
        <w:rPr>
          <w:rFonts w:ascii="Times New Roman" w:hAnsi="Times New Roman"/>
          <w:lang w:val="en-GB"/>
        </w:rPr>
        <w:t xml:space="preserve"> (e.g. introducing the L2 indication from parent node to child node, which can be carried through new BAP control PDU)</w:t>
      </w:r>
      <w:r w:rsidRPr="00262072">
        <w:rPr>
          <w:rFonts w:ascii="Times New Roman" w:hAnsi="Times New Roman"/>
          <w:lang w:val="en-GB"/>
        </w:rPr>
        <w:t>,</w:t>
      </w:r>
      <w:r>
        <w:rPr>
          <w:rFonts w:ascii="Times New Roman" w:hAnsi="Times New Roman"/>
          <w:lang w:val="en-GB"/>
        </w:rPr>
        <w:t xml:space="preserve"> so we suggest that </w:t>
      </w:r>
    </w:p>
    <w:p w14:paraId="58253E1D" w14:textId="60E68A8F" w:rsidR="00BA0B6E" w:rsidRDefault="00262072" w:rsidP="00262072">
      <w:pPr>
        <w:spacing w:beforeLines="50" w:before="120"/>
        <w:ind w:left="34"/>
        <w:rPr>
          <w:rFonts w:ascii="Times New Roman" w:hAnsi="Times New Roman"/>
          <w:b/>
          <w:lang w:val="en-GB"/>
        </w:rPr>
      </w:pPr>
      <w:r>
        <w:rPr>
          <w:rFonts w:ascii="Times New Roman" w:hAnsi="Times New Roman"/>
          <w:b/>
          <w:lang w:val="en-GB"/>
        </w:rPr>
        <w:t xml:space="preserve">Proposal </w:t>
      </w:r>
      <w:r w:rsidR="00CA759B">
        <w:rPr>
          <w:rFonts w:ascii="Times New Roman" w:hAnsi="Times New Roman"/>
          <w:b/>
          <w:lang w:val="en-GB"/>
        </w:rPr>
        <w:t>6</w:t>
      </w:r>
      <w:r>
        <w:rPr>
          <w:rFonts w:ascii="Times New Roman" w:hAnsi="Times New Roman"/>
          <w:b/>
          <w:lang w:val="en-GB"/>
        </w:rPr>
        <w:t xml:space="preserve">: </w:t>
      </w:r>
      <w:r w:rsidRPr="00262072">
        <w:rPr>
          <w:rFonts w:ascii="Times New Roman" w:hAnsi="Times New Roman"/>
          <w:b/>
          <w:lang w:val="en-GB"/>
        </w:rPr>
        <w:t xml:space="preserve">RAN2 </w:t>
      </w:r>
      <w:r w:rsidR="00ED29E8">
        <w:rPr>
          <w:rFonts w:ascii="Times New Roman" w:hAnsi="Times New Roman"/>
          <w:b/>
          <w:lang w:val="en-GB"/>
        </w:rPr>
        <w:t xml:space="preserve">prefer solution 2 when to </w:t>
      </w:r>
      <w:r w:rsidRPr="00262072">
        <w:rPr>
          <w:rFonts w:ascii="Times New Roman" w:hAnsi="Times New Roman"/>
          <w:b/>
          <w:lang w:val="en-GB"/>
        </w:rPr>
        <w:t>repl</w:t>
      </w:r>
      <w:r w:rsidR="00ED29E8">
        <w:rPr>
          <w:rFonts w:ascii="Times New Roman" w:hAnsi="Times New Roman"/>
          <w:b/>
          <w:lang w:val="en-GB"/>
        </w:rPr>
        <w:t>y</w:t>
      </w:r>
      <w:r w:rsidRPr="00262072">
        <w:rPr>
          <w:rFonts w:ascii="Times New Roman" w:hAnsi="Times New Roman"/>
          <w:b/>
          <w:lang w:val="en-GB"/>
        </w:rPr>
        <w:t xml:space="preserve"> the RAN3 LS</w:t>
      </w:r>
      <w:r w:rsidR="002D3D2A" w:rsidRPr="002D3D2A">
        <w:t xml:space="preserve"> </w:t>
      </w:r>
      <w:r w:rsidR="002D3D2A" w:rsidRPr="002D3D2A">
        <w:rPr>
          <w:rFonts w:ascii="Times New Roman" w:hAnsi="Times New Roman"/>
          <w:b/>
          <w:lang w:val="en-GB"/>
        </w:rPr>
        <w:t>R3-212973</w:t>
      </w:r>
      <w:r w:rsidR="00BA0B6E">
        <w:rPr>
          <w:rFonts w:ascii="Times New Roman" w:hAnsi="Times New Roman"/>
          <w:b/>
          <w:lang w:val="en-GB"/>
        </w:rPr>
        <w:t>, considering following issues in solution1:</w:t>
      </w:r>
    </w:p>
    <w:p w14:paraId="731D944E" w14:textId="77777777" w:rsidR="00BA0B6E" w:rsidRPr="00F56E9B" w:rsidRDefault="00BA0B6E" w:rsidP="00BA0B6E">
      <w:pPr>
        <w:spacing w:after="0"/>
        <w:ind w:left="34"/>
        <w:rPr>
          <w:rFonts w:ascii="Times New Roman" w:hAnsi="Times New Roman"/>
          <w:b/>
          <w:szCs w:val="22"/>
          <w:lang w:val="en-GB" w:eastAsia="x-none"/>
        </w:rPr>
      </w:pPr>
      <w:r w:rsidRPr="00F56E9B">
        <w:rPr>
          <w:rFonts w:ascii="Times New Roman" w:hAnsi="Times New Roman"/>
          <w:b/>
          <w:szCs w:val="22"/>
          <w:lang w:val="en-GB" w:eastAsia="x-none"/>
        </w:rPr>
        <w:t>In case migrating IAB-MT’s HO fails</w:t>
      </w:r>
      <w:r w:rsidRPr="00F56E9B">
        <w:rPr>
          <w:rFonts w:ascii="Times New Roman" w:hAnsi="Times New Roman" w:hint="eastAsia"/>
          <w:b/>
          <w:szCs w:val="22"/>
          <w:lang w:val="en-GB" w:eastAsia="x-none"/>
        </w:rPr>
        <w:t>：</w:t>
      </w:r>
    </w:p>
    <w:p w14:paraId="2A9B462D" w14:textId="77777777" w:rsidR="004660A4" w:rsidRPr="00F462AC" w:rsidRDefault="004660A4" w:rsidP="004660A4">
      <w:pPr>
        <w:pStyle w:val="af8"/>
        <w:numPr>
          <w:ilvl w:val="0"/>
          <w:numId w:val="26"/>
        </w:numPr>
        <w:spacing w:beforeLines="50" w:before="120"/>
        <w:rPr>
          <w:rFonts w:ascii="Times New Roman" w:hAnsi="Times New Roman"/>
          <w:b/>
          <w:sz w:val="20"/>
          <w:lang w:val="en-GB"/>
        </w:rPr>
      </w:pPr>
      <w:r w:rsidRPr="00F462AC">
        <w:rPr>
          <w:rFonts w:ascii="Times New Roman" w:hAnsi="Times New Roman"/>
          <w:b/>
          <w:sz w:val="20"/>
          <w:lang w:val="en-GB"/>
        </w:rPr>
        <w:t xml:space="preserve">If migrating IAB-node still sends the buffered RRC reconfiguration message, it will </w:t>
      </w:r>
      <w:r>
        <w:rPr>
          <w:rFonts w:ascii="Times New Roman" w:hAnsi="Times New Roman"/>
          <w:b/>
          <w:sz w:val="20"/>
          <w:lang w:val="en-GB"/>
        </w:rPr>
        <w:t>make</w:t>
      </w:r>
      <w:r w:rsidRPr="00F462AC">
        <w:rPr>
          <w:rFonts w:ascii="Times New Roman" w:hAnsi="Times New Roman"/>
          <w:b/>
          <w:sz w:val="20"/>
          <w:lang w:val="en-GB"/>
        </w:rPr>
        <w:t xml:space="preserve"> child IAB node to trigger TNL migration</w:t>
      </w:r>
      <w:r>
        <w:rPr>
          <w:rFonts w:ascii="Times New Roman" w:hAnsi="Times New Roman"/>
          <w:b/>
          <w:sz w:val="20"/>
          <w:lang w:val="en-GB"/>
        </w:rPr>
        <w:t xml:space="preserve"> incorrectly</w:t>
      </w:r>
      <w:r w:rsidRPr="00F462AC">
        <w:rPr>
          <w:rFonts w:ascii="Times New Roman" w:hAnsi="Times New Roman"/>
          <w:b/>
          <w:sz w:val="20"/>
          <w:lang w:val="en-GB"/>
        </w:rPr>
        <w:t xml:space="preserve">. </w:t>
      </w:r>
    </w:p>
    <w:p w14:paraId="21DFF9C0" w14:textId="77777777" w:rsidR="004660A4" w:rsidRPr="00F462AC" w:rsidRDefault="004660A4" w:rsidP="004660A4">
      <w:pPr>
        <w:pStyle w:val="af8"/>
        <w:numPr>
          <w:ilvl w:val="0"/>
          <w:numId w:val="26"/>
        </w:numPr>
        <w:spacing w:beforeLines="50" w:before="120"/>
        <w:rPr>
          <w:rFonts w:ascii="Times New Roman" w:hAnsi="Times New Roman"/>
          <w:b/>
          <w:sz w:val="20"/>
          <w:lang w:val="en-GB"/>
        </w:rPr>
      </w:pPr>
      <w:r w:rsidRPr="00F462AC">
        <w:rPr>
          <w:rFonts w:ascii="Times New Roman" w:hAnsi="Times New Roman"/>
          <w:b/>
          <w:sz w:val="20"/>
          <w:lang w:val="en-GB"/>
        </w:rPr>
        <w:t>Else if migrating IAB-node discards the buffered RRC reconfiguration message, it will cause the PDCP SN gap in PDCP layer and</w:t>
      </w:r>
      <w:r>
        <w:rPr>
          <w:rFonts w:ascii="Times New Roman" w:hAnsi="Times New Roman"/>
          <w:b/>
          <w:sz w:val="20"/>
          <w:lang w:val="en-GB"/>
        </w:rPr>
        <w:t xml:space="preserve"> the delivery of subsequent RRC messages may not be possible</w:t>
      </w:r>
      <w:r w:rsidRPr="00F462AC">
        <w:rPr>
          <w:rFonts w:ascii="Times New Roman" w:hAnsi="Times New Roman"/>
          <w:b/>
          <w:sz w:val="20"/>
          <w:lang w:val="en-GB"/>
        </w:rPr>
        <w:t>.</w:t>
      </w:r>
    </w:p>
    <w:p w14:paraId="7C0FC5B3" w14:textId="075E7F99" w:rsidR="00ED29E8" w:rsidRPr="00F56E9B" w:rsidRDefault="00896B75">
      <w:pPr>
        <w:spacing w:beforeLines="50" w:before="120"/>
        <w:ind w:left="34"/>
        <w:rPr>
          <w:rFonts w:ascii="Times New Roman" w:hAnsi="Times New Roman"/>
          <w:b/>
          <w:szCs w:val="22"/>
          <w:lang w:val="en-GB" w:eastAsia="x-none"/>
        </w:rPr>
      </w:pPr>
      <w:r w:rsidRPr="00F56E9B">
        <w:rPr>
          <w:rFonts w:ascii="Times New Roman" w:hAnsi="Times New Roman"/>
          <w:b/>
          <w:szCs w:val="22"/>
          <w:lang w:val="en-GB" w:eastAsia="x-none"/>
        </w:rPr>
        <w:t>In case CU sends a new RRCReconfiguration message to the child node after the buffered RRCReconfiguration message</w:t>
      </w:r>
      <w:r w:rsidR="00ED29E8" w:rsidRPr="00F56E9B">
        <w:rPr>
          <w:rFonts w:ascii="Times New Roman" w:hAnsi="Times New Roman"/>
          <w:b/>
          <w:szCs w:val="22"/>
          <w:lang w:val="en-GB" w:eastAsia="x-none"/>
        </w:rPr>
        <w:t>:</w:t>
      </w:r>
    </w:p>
    <w:p w14:paraId="70C1EBEA" w14:textId="5B2D1896" w:rsidR="00262072" w:rsidRPr="00F56E9B" w:rsidRDefault="004660A4" w:rsidP="004660A4">
      <w:pPr>
        <w:pStyle w:val="af8"/>
        <w:numPr>
          <w:ilvl w:val="0"/>
          <w:numId w:val="26"/>
        </w:numPr>
        <w:spacing w:beforeLines="50" w:before="120"/>
        <w:rPr>
          <w:rFonts w:ascii="Times New Roman" w:hAnsi="Times New Roman"/>
          <w:b/>
          <w:sz w:val="20"/>
          <w:lang w:val="en-GB"/>
        </w:rPr>
      </w:pPr>
      <w:r w:rsidRPr="004660A4">
        <w:rPr>
          <w:rFonts w:ascii="Times New Roman" w:hAnsi="Times New Roman"/>
          <w:b/>
          <w:sz w:val="20"/>
          <w:lang w:val="en-GB"/>
        </w:rPr>
        <w:t>the new RRCReconfiguration message will be delivered to the child IAB-MT’s RRC layer once its PDCP reorder timer expires, while the previous RRCReconfiguration message is still buffered at parent node. There will be RRC configuration mismatch between child IAB-MT and CU, due to the missing of the buffered RRCReconfiguratio</w:t>
      </w:r>
      <w:r>
        <w:rPr>
          <w:rFonts w:ascii="Times New Roman" w:hAnsi="Times New Roman"/>
          <w:b/>
          <w:sz w:val="20"/>
          <w:lang w:val="en-GB"/>
        </w:rPr>
        <w:t>n message</w:t>
      </w:r>
      <w:r w:rsidR="00896B75" w:rsidRPr="00F56E9B">
        <w:rPr>
          <w:rFonts w:ascii="Times New Roman" w:hAnsi="Times New Roman"/>
          <w:b/>
          <w:sz w:val="20"/>
          <w:lang w:val="en-GB"/>
        </w:rPr>
        <w:t>.</w:t>
      </w:r>
    </w:p>
    <w:p w14:paraId="4AD5EFD7" w14:textId="77777777" w:rsidR="007A35BE" w:rsidRDefault="007A35BE" w:rsidP="007A35BE">
      <w:pPr>
        <w:pStyle w:val="1"/>
        <w:rPr>
          <w:rFonts w:eastAsia="宋体"/>
          <w:lang w:val="en-US"/>
        </w:rPr>
      </w:pPr>
      <w:r w:rsidRPr="00CB19F6">
        <w:rPr>
          <w:rFonts w:eastAsia="宋体"/>
          <w:lang w:val="en-US"/>
        </w:rPr>
        <w:t>Conclusion</w:t>
      </w:r>
    </w:p>
    <w:p w14:paraId="0C5EEFD0" w14:textId="131DA4E9" w:rsidR="00F93412" w:rsidRPr="00FC3CE9" w:rsidRDefault="007A35BE" w:rsidP="00FC3CE9">
      <w:pPr>
        <w:spacing w:after="60"/>
        <w:rPr>
          <w:rFonts w:ascii="Times New Roman" w:hAnsi="Times New Roman"/>
          <w:lang w:val="en-GB"/>
        </w:rPr>
      </w:pPr>
      <w:r w:rsidRPr="00703599">
        <w:rPr>
          <w:rFonts w:ascii="Times New Roman" w:hAnsi="Times New Roman"/>
        </w:rPr>
        <w:t xml:space="preserve">In this paper, </w:t>
      </w:r>
      <w:r w:rsidR="00FC3CE9" w:rsidRPr="00E577CD">
        <w:rPr>
          <w:rFonts w:ascii="Times New Roman" w:hAnsi="Times New Roman"/>
          <w:lang w:val="en-GB"/>
        </w:rPr>
        <w:t>we discuss</w:t>
      </w:r>
      <w:r w:rsidR="00FC3CE9">
        <w:rPr>
          <w:rFonts w:ascii="Times New Roman" w:hAnsi="Times New Roman"/>
          <w:lang w:val="en-GB"/>
        </w:rPr>
        <w:t xml:space="preserve"> the issues </w:t>
      </w:r>
      <w:r w:rsidR="00262072">
        <w:rPr>
          <w:rFonts w:ascii="Times New Roman" w:hAnsi="Times New Roman"/>
          <w:lang w:val="en-GB"/>
        </w:rPr>
        <w:t xml:space="preserve">raised by the RAN3 LS </w:t>
      </w:r>
      <w:r w:rsidR="00262072" w:rsidRPr="00262072">
        <w:rPr>
          <w:rFonts w:ascii="Times New Roman" w:hAnsi="Times New Roman"/>
          <w:lang w:val="en-GB"/>
        </w:rPr>
        <w:t>R3-212981 and R3-212973</w:t>
      </w:r>
      <w:r w:rsidR="00456511">
        <w:rPr>
          <w:rFonts w:ascii="Times New Roman" w:hAnsi="Times New Roman"/>
          <w:lang w:val="en-GB"/>
        </w:rPr>
        <w:t xml:space="preserve">, </w:t>
      </w:r>
      <w:r>
        <w:rPr>
          <w:rFonts w:ascii="Times New Roman" w:hAnsi="Times New Roman"/>
        </w:rPr>
        <w:t>and provide the following</w:t>
      </w:r>
      <w:r w:rsidR="00734761">
        <w:rPr>
          <w:rFonts w:ascii="Times New Roman" w:hAnsi="Times New Roman"/>
        </w:rPr>
        <w:t xml:space="preserve"> observations and</w:t>
      </w:r>
      <w:r>
        <w:rPr>
          <w:rFonts w:ascii="Times New Roman" w:hAnsi="Times New Roman"/>
        </w:rPr>
        <w:t xml:space="preserve"> </w:t>
      </w:r>
      <w:r w:rsidR="00913782">
        <w:rPr>
          <w:rFonts w:ascii="Times New Roman" w:hAnsi="Times New Roman"/>
        </w:rPr>
        <w:t>proposa</w:t>
      </w:r>
      <w:r>
        <w:rPr>
          <w:rFonts w:ascii="Times New Roman" w:hAnsi="Times New Roman"/>
        </w:rPr>
        <w:t>ls</w:t>
      </w:r>
      <w:r w:rsidRPr="00703599">
        <w:rPr>
          <w:rFonts w:ascii="Times New Roman" w:hAnsi="Times New Roman"/>
        </w:rPr>
        <w:t>:</w:t>
      </w:r>
    </w:p>
    <w:p w14:paraId="167998F2" w14:textId="77777777" w:rsidR="004660A4" w:rsidRPr="0012265D" w:rsidRDefault="004660A4" w:rsidP="004660A4">
      <w:pPr>
        <w:rPr>
          <w:rFonts w:ascii="Times New Roman" w:hAnsi="Times New Roman"/>
          <w:b/>
        </w:rPr>
      </w:pPr>
      <w:r w:rsidRPr="0012265D">
        <w:rPr>
          <w:rFonts w:ascii="Times New Roman" w:hAnsi="Times New Roman"/>
          <w:b/>
        </w:rPr>
        <w:t xml:space="preserve">Observation 1: </w:t>
      </w:r>
      <w:r>
        <w:rPr>
          <w:rFonts w:ascii="Times New Roman" w:hAnsi="Times New Roman"/>
          <w:b/>
        </w:rPr>
        <w:t xml:space="preserve">For Q1, </w:t>
      </w:r>
      <w:r w:rsidRPr="0012265D">
        <w:rPr>
          <w:rFonts w:ascii="Times New Roman" w:hAnsi="Times New Roman"/>
          <w:b/>
        </w:rPr>
        <w:t>it is possible for the RRC connected UEs remain connected, and update the system information using the legacy SI update procedures</w:t>
      </w:r>
      <w:r>
        <w:rPr>
          <w:rFonts w:ascii="Times New Roman" w:hAnsi="Times New Roman"/>
          <w:b/>
        </w:rPr>
        <w:t xml:space="preserve">. But considering the need of security key update for inter-CU migration, </w:t>
      </w:r>
      <w:r w:rsidRPr="0012265D">
        <w:rPr>
          <w:rFonts w:ascii="Times New Roman" w:hAnsi="Times New Roman"/>
          <w:b/>
        </w:rPr>
        <w:t>it is impossible for a legacy UE to connect the target CU just reusing SI update procedure without performing HO</w:t>
      </w:r>
      <w:r>
        <w:rPr>
          <w:rFonts w:ascii="Times New Roman" w:hAnsi="Times New Roman"/>
          <w:b/>
        </w:rPr>
        <w:t xml:space="preserve"> for the full migration case.</w:t>
      </w:r>
    </w:p>
    <w:p w14:paraId="51ED433F" w14:textId="77777777" w:rsidR="004660A4" w:rsidRDefault="004660A4" w:rsidP="004660A4">
      <w:pPr>
        <w:spacing w:beforeLines="50" w:before="120" w:after="0"/>
        <w:rPr>
          <w:rFonts w:ascii="Times New Roman" w:hAnsi="Times New Roman"/>
          <w:b/>
        </w:rPr>
      </w:pPr>
      <w:r>
        <w:rPr>
          <w:rFonts w:ascii="Times New Roman" w:hAnsi="Times New Roman"/>
          <w:b/>
        </w:rPr>
        <w:t xml:space="preserve">Observation 2: </w:t>
      </w:r>
      <w:r w:rsidRPr="00AB0A53">
        <w:rPr>
          <w:rFonts w:ascii="Times New Roman" w:hAnsi="Times New Roman"/>
          <w:b/>
        </w:rPr>
        <w:t>Although the PCIs may be unchanged, there are still some other cell specific configurations</w:t>
      </w:r>
      <w:r>
        <w:rPr>
          <w:rFonts w:ascii="Times New Roman" w:hAnsi="Times New Roman"/>
          <w:b/>
        </w:rPr>
        <w:t xml:space="preserve"> to be </w:t>
      </w:r>
      <w:r w:rsidRPr="00AB0A53">
        <w:rPr>
          <w:rFonts w:ascii="Times New Roman" w:hAnsi="Times New Roman"/>
          <w:b/>
        </w:rPr>
        <w:t>different between the cell 1 and cell 2, e.g. the RACH resource</w:t>
      </w:r>
      <w:r>
        <w:rPr>
          <w:rFonts w:ascii="Times New Roman" w:hAnsi="Times New Roman"/>
          <w:b/>
        </w:rPr>
        <w:t xml:space="preserve"> configuration</w:t>
      </w:r>
      <w:r w:rsidRPr="00AB0A53">
        <w:rPr>
          <w:rFonts w:ascii="Times New Roman" w:hAnsi="Times New Roman"/>
          <w:b/>
        </w:rPr>
        <w:t>, the D/U/F configuration and the H/S/NA attributes, etc.</w:t>
      </w:r>
      <w:r>
        <w:rPr>
          <w:rFonts w:ascii="Times New Roman" w:hAnsi="Times New Roman"/>
          <w:b/>
        </w:rPr>
        <w:t xml:space="preserve"> Thus, it may be not possible that the target logical DU use the same physical resource configuration as the source logical DU.</w:t>
      </w:r>
    </w:p>
    <w:p w14:paraId="16399EBB" w14:textId="77777777" w:rsidR="004660A4" w:rsidRPr="0069762D" w:rsidRDefault="004660A4" w:rsidP="004660A4">
      <w:pPr>
        <w:spacing w:beforeLines="50" w:before="120"/>
        <w:rPr>
          <w:rFonts w:ascii="Times New Roman" w:hAnsi="Times New Roman"/>
          <w:b/>
        </w:rPr>
      </w:pPr>
      <w:r w:rsidRPr="0069762D">
        <w:rPr>
          <w:rFonts w:ascii="Times New Roman" w:hAnsi="Times New Roman"/>
          <w:b/>
        </w:rPr>
        <w:t xml:space="preserve">Observation </w:t>
      </w:r>
      <w:r>
        <w:rPr>
          <w:rFonts w:ascii="Times New Roman" w:hAnsi="Times New Roman"/>
          <w:b/>
        </w:rPr>
        <w:t>3</w:t>
      </w:r>
      <w:r w:rsidRPr="0069762D">
        <w:rPr>
          <w:rFonts w:ascii="Times New Roman" w:hAnsi="Times New Roman"/>
          <w:b/>
        </w:rPr>
        <w:t>:</w:t>
      </w:r>
      <w:r>
        <w:rPr>
          <w:rFonts w:ascii="Times New Roman" w:hAnsi="Times New Roman"/>
          <w:b/>
        </w:rPr>
        <w:t xml:space="preserve"> For Q2 and Q3 in </w:t>
      </w:r>
      <w:r w:rsidRPr="000152F2">
        <w:rPr>
          <w:rFonts w:ascii="Times New Roman" w:hAnsi="Times New Roman"/>
          <w:b/>
        </w:rPr>
        <w:t>R3-212981</w:t>
      </w:r>
      <w:r>
        <w:rPr>
          <w:rFonts w:ascii="Times New Roman" w:hAnsi="Times New Roman"/>
          <w:b/>
        </w:rPr>
        <w:t>, the</w:t>
      </w:r>
      <w:r w:rsidRPr="0069762D">
        <w:rPr>
          <w:rFonts w:ascii="Times New Roman" w:hAnsi="Times New Roman"/>
          <w:b/>
        </w:rPr>
        <w:t xml:space="preserve"> key technical issues for UE’s HO are</w:t>
      </w:r>
      <w:r>
        <w:rPr>
          <w:rFonts w:ascii="Times New Roman" w:hAnsi="Times New Roman"/>
          <w:b/>
        </w:rPr>
        <w:t xml:space="preserve"> the technical issue 3 and 4 for the alt 2 in proposal 3, </w:t>
      </w:r>
      <w:r w:rsidRPr="0069762D">
        <w:rPr>
          <w:rFonts w:ascii="Times New Roman" w:hAnsi="Times New Roman"/>
          <w:b/>
        </w:rPr>
        <w:t>regardless of whether the PCI is same or different for the two cells</w:t>
      </w:r>
      <w:r>
        <w:rPr>
          <w:rFonts w:ascii="Times New Roman" w:hAnsi="Times New Roman"/>
          <w:b/>
        </w:rPr>
        <w:t>.</w:t>
      </w:r>
    </w:p>
    <w:p w14:paraId="3B8B336A" w14:textId="77777777" w:rsidR="004660A4" w:rsidRPr="00806522" w:rsidRDefault="004660A4" w:rsidP="004660A4">
      <w:pPr>
        <w:spacing w:beforeLines="50" w:before="120"/>
        <w:ind w:left="34"/>
        <w:rPr>
          <w:rFonts w:ascii="Times New Roman" w:hAnsi="Times New Roman"/>
          <w:b/>
          <w:lang w:val="en-GB"/>
        </w:rPr>
      </w:pPr>
      <w:r w:rsidRPr="00806522">
        <w:rPr>
          <w:rFonts w:ascii="Times New Roman" w:hAnsi="Times New Roman"/>
          <w:b/>
          <w:lang w:val="en-GB"/>
        </w:rPr>
        <w:t xml:space="preserve">Observation </w:t>
      </w:r>
      <w:r>
        <w:rPr>
          <w:rFonts w:ascii="Times New Roman" w:hAnsi="Times New Roman"/>
          <w:b/>
          <w:lang w:val="en-GB"/>
        </w:rPr>
        <w:t>4</w:t>
      </w:r>
      <w:r w:rsidRPr="00806522">
        <w:rPr>
          <w:rFonts w:ascii="Times New Roman" w:hAnsi="Times New Roman"/>
          <w:b/>
          <w:lang w:val="en-GB"/>
        </w:rPr>
        <w:t xml:space="preserve">. </w:t>
      </w:r>
      <w:r>
        <w:rPr>
          <w:rFonts w:ascii="Times New Roman" w:hAnsi="Times New Roman"/>
          <w:b/>
          <w:lang w:val="en-GB"/>
        </w:rPr>
        <w:t>T</w:t>
      </w:r>
      <w:r w:rsidRPr="00806522">
        <w:rPr>
          <w:rFonts w:ascii="Times New Roman" w:hAnsi="Times New Roman"/>
          <w:b/>
          <w:lang w:val="en-GB"/>
        </w:rPr>
        <w:t xml:space="preserve">he parent IAB node cannot perform BAP routing for UL packets carrying child nodes’ TNL migration request </w:t>
      </w:r>
      <w:r>
        <w:rPr>
          <w:rFonts w:ascii="Times New Roman" w:hAnsi="Times New Roman"/>
          <w:b/>
          <w:lang w:val="en-GB"/>
        </w:rPr>
        <w:t>by using the</w:t>
      </w:r>
      <w:r w:rsidRPr="00806522">
        <w:rPr>
          <w:rFonts w:ascii="Times New Roman" w:hAnsi="Times New Roman"/>
          <w:b/>
          <w:lang w:val="en-GB"/>
        </w:rPr>
        <w:t xml:space="preserve"> new default BAP routing ID</w:t>
      </w:r>
      <w:r>
        <w:rPr>
          <w:rFonts w:ascii="Times New Roman" w:hAnsi="Times New Roman"/>
          <w:b/>
          <w:lang w:val="en-GB"/>
        </w:rPr>
        <w:t xml:space="preserve"> in header</w:t>
      </w:r>
      <w:r w:rsidRPr="00806522">
        <w:rPr>
          <w:rFonts w:ascii="Times New Roman" w:hAnsi="Times New Roman"/>
          <w:b/>
          <w:lang w:val="en-GB"/>
        </w:rPr>
        <w:t xml:space="preserve">, until </w:t>
      </w:r>
      <w:r>
        <w:rPr>
          <w:rFonts w:ascii="Times New Roman" w:hAnsi="Times New Roman"/>
          <w:b/>
          <w:lang w:val="en-GB"/>
        </w:rPr>
        <w:t>its</w:t>
      </w:r>
      <w:r w:rsidRPr="00806522">
        <w:rPr>
          <w:rFonts w:ascii="Times New Roman" w:hAnsi="Times New Roman"/>
          <w:b/>
          <w:lang w:val="en-GB"/>
        </w:rPr>
        <w:t xml:space="preserve"> BAP routing table is updated </w:t>
      </w:r>
      <w:r>
        <w:rPr>
          <w:rFonts w:ascii="Times New Roman" w:hAnsi="Times New Roman"/>
          <w:b/>
          <w:lang w:val="en-GB"/>
        </w:rPr>
        <w:t>accordingly by</w:t>
      </w:r>
      <w:r w:rsidRPr="00806522">
        <w:rPr>
          <w:rFonts w:ascii="Times New Roman" w:hAnsi="Times New Roman"/>
          <w:b/>
          <w:lang w:val="en-GB"/>
        </w:rPr>
        <w:t xml:space="preserve"> F1AP.</w:t>
      </w:r>
    </w:p>
    <w:p w14:paraId="66404E49" w14:textId="77777777" w:rsidR="004660A4" w:rsidRPr="00806522" w:rsidRDefault="004660A4" w:rsidP="004660A4">
      <w:pPr>
        <w:spacing w:beforeLines="50" w:before="120"/>
        <w:ind w:left="34"/>
        <w:rPr>
          <w:rFonts w:ascii="Times New Roman" w:hAnsi="Times New Roman"/>
          <w:b/>
          <w:lang w:val="en-GB"/>
        </w:rPr>
      </w:pPr>
      <w:r>
        <w:rPr>
          <w:rFonts w:ascii="Times New Roman" w:hAnsi="Times New Roman"/>
          <w:b/>
          <w:lang w:val="en-GB"/>
        </w:rPr>
        <w:t>Observation 5. For solution 1, each IAB-node should send the buffered RRCReconfiguration to its child IAB-node</w:t>
      </w:r>
      <w:r w:rsidRPr="00806522">
        <w:rPr>
          <w:rFonts w:ascii="Times New Roman" w:hAnsi="Times New Roman"/>
          <w:b/>
          <w:lang w:val="en-GB"/>
        </w:rPr>
        <w:t xml:space="preserve"> </w:t>
      </w:r>
      <w:r w:rsidRPr="00882FBE">
        <w:rPr>
          <w:rFonts w:ascii="Times New Roman" w:hAnsi="Times New Roman"/>
          <w:b/>
          <w:lang w:val="en-GB"/>
        </w:rPr>
        <w:t xml:space="preserve">AFTER successful </w:t>
      </w:r>
      <w:r>
        <w:rPr>
          <w:rFonts w:ascii="Times New Roman" w:hAnsi="Times New Roman"/>
          <w:b/>
          <w:lang w:val="en-GB"/>
        </w:rPr>
        <w:t>TNL migration</w:t>
      </w:r>
      <w:r w:rsidRPr="00882FBE">
        <w:rPr>
          <w:rFonts w:ascii="Times New Roman" w:hAnsi="Times New Roman"/>
          <w:b/>
          <w:lang w:val="en-GB"/>
        </w:rPr>
        <w:t xml:space="preserve"> and F1 based BAP routing table reconfiguration</w:t>
      </w:r>
      <w:r w:rsidRPr="00806522">
        <w:rPr>
          <w:rFonts w:ascii="Times New Roman" w:hAnsi="Times New Roman"/>
          <w:b/>
          <w:lang w:val="en-GB"/>
        </w:rPr>
        <w:t>.</w:t>
      </w:r>
    </w:p>
    <w:p w14:paraId="4C082C1F" w14:textId="77777777" w:rsidR="004660A4" w:rsidRDefault="004660A4" w:rsidP="004660A4">
      <w:pPr>
        <w:spacing w:beforeLines="50" w:before="120"/>
        <w:ind w:left="34"/>
        <w:rPr>
          <w:rFonts w:ascii="Times New Roman" w:hAnsi="Times New Roman"/>
          <w:b/>
          <w:lang w:val="en-GB"/>
        </w:rPr>
      </w:pPr>
      <w:r w:rsidRPr="00882FBE">
        <w:rPr>
          <w:rFonts w:ascii="Times New Roman" w:hAnsi="Times New Roman"/>
          <w:b/>
          <w:lang w:val="en-GB"/>
        </w:rPr>
        <w:t xml:space="preserve">Observation </w:t>
      </w:r>
      <w:r>
        <w:rPr>
          <w:rFonts w:ascii="Times New Roman" w:hAnsi="Times New Roman"/>
          <w:b/>
          <w:lang w:val="en-GB"/>
        </w:rPr>
        <w:t>6</w:t>
      </w:r>
      <w:r w:rsidRPr="00882FBE">
        <w:rPr>
          <w:rFonts w:ascii="Times New Roman" w:hAnsi="Times New Roman"/>
          <w:b/>
          <w:lang w:val="en-GB"/>
        </w:rPr>
        <w:t xml:space="preserve">: </w:t>
      </w:r>
      <w:r>
        <w:rPr>
          <w:rFonts w:ascii="Times New Roman" w:hAnsi="Times New Roman"/>
          <w:b/>
          <w:lang w:val="en-GB"/>
        </w:rPr>
        <w:t>For solution 2, each</w:t>
      </w:r>
      <w:r w:rsidRPr="00882FBE">
        <w:rPr>
          <w:rFonts w:ascii="Times New Roman" w:hAnsi="Times New Roman"/>
          <w:b/>
          <w:lang w:val="en-GB"/>
        </w:rPr>
        <w:t xml:space="preserve"> IAB-node should send the L2 indication</w:t>
      </w:r>
      <w:r>
        <w:rPr>
          <w:rFonts w:ascii="Times New Roman" w:hAnsi="Times New Roman"/>
          <w:b/>
          <w:lang w:val="en-GB"/>
        </w:rPr>
        <w:t xml:space="preserve"> to its child IAB-node</w:t>
      </w:r>
      <w:r w:rsidRPr="00882FBE">
        <w:rPr>
          <w:rFonts w:ascii="Times New Roman" w:hAnsi="Times New Roman"/>
          <w:b/>
          <w:lang w:val="en-GB"/>
        </w:rPr>
        <w:t xml:space="preserve"> AFTER successful </w:t>
      </w:r>
      <w:r>
        <w:rPr>
          <w:rFonts w:ascii="Times New Roman" w:hAnsi="Times New Roman"/>
          <w:b/>
          <w:lang w:val="en-GB"/>
        </w:rPr>
        <w:t>TNL migration</w:t>
      </w:r>
      <w:r w:rsidRPr="00882FBE">
        <w:rPr>
          <w:rFonts w:ascii="Times New Roman" w:hAnsi="Times New Roman"/>
          <w:b/>
          <w:lang w:val="en-GB"/>
        </w:rPr>
        <w:t xml:space="preserve"> and F1 based BAP routing table reconfiguration.</w:t>
      </w:r>
    </w:p>
    <w:p w14:paraId="709186C9" w14:textId="77777777" w:rsidR="004660A4" w:rsidRPr="00F462AC" w:rsidRDefault="004660A4" w:rsidP="004660A4">
      <w:pPr>
        <w:spacing w:after="0"/>
        <w:ind w:left="34"/>
        <w:rPr>
          <w:rFonts w:ascii="Times New Roman" w:hAnsi="Times New Roman"/>
          <w:b/>
          <w:lang w:val="en-GB"/>
        </w:rPr>
      </w:pPr>
      <w:r w:rsidRPr="00F462AC">
        <w:rPr>
          <w:rFonts w:ascii="Times New Roman" w:hAnsi="Times New Roman"/>
          <w:b/>
          <w:lang w:val="en-GB"/>
        </w:rPr>
        <w:t xml:space="preserve">Observation </w:t>
      </w:r>
      <w:r>
        <w:rPr>
          <w:rFonts w:ascii="Times New Roman" w:hAnsi="Times New Roman"/>
          <w:b/>
          <w:lang w:val="en-GB"/>
        </w:rPr>
        <w:t>7</w:t>
      </w:r>
      <w:r w:rsidRPr="00F462AC">
        <w:rPr>
          <w:rFonts w:ascii="Times New Roman" w:hAnsi="Times New Roman" w:hint="eastAsia"/>
          <w:b/>
          <w:lang w:val="en-GB"/>
        </w:rPr>
        <w:t>：</w:t>
      </w:r>
      <w:r>
        <w:rPr>
          <w:rFonts w:ascii="Times New Roman" w:hAnsi="Times New Roman" w:hint="eastAsia"/>
          <w:b/>
          <w:lang w:val="en-GB"/>
        </w:rPr>
        <w:t>F</w:t>
      </w:r>
      <w:r>
        <w:rPr>
          <w:rFonts w:ascii="Times New Roman" w:hAnsi="Times New Roman"/>
          <w:b/>
          <w:lang w:val="en-GB"/>
        </w:rPr>
        <w:t>or solution 1, i</w:t>
      </w:r>
      <w:r w:rsidRPr="00F462AC">
        <w:rPr>
          <w:rFonts w:ascii="Times New Roman" w:hAnsi="Times New Roman"/>
          <w:b/>
          <w:lang w:val="en-GB"/>
        </w:rPr>
        <w:t>n case migrating IAB-</w:t>
      </w:r>
      <w:r>
        <w:rPr>
          <w:rFonts w:ascii="Times New Roman" w:hAnsi="Times New Roman"/>
          <w:b/>
          <w:lang w:val="en-GB"/>
        </w:rPr>
        <w:t>MT’s</w:t>
      </w:r>
      <w:r w:rsidRPr="00F462AC">
        <w:rPr>
          <w:rFonts w:ascii="Times New Roman" w:hAnsi="Times New Roman"/>
          <w:b/>
          <w:lang w:val="en-GB"/>
        </w:rPr>
        <w:t xml:space="preserve"> HO fails</w:t>
      </w:r>
      <w:r w:rsidRPr="00F462AC">
        <w:rPr>
          <w:rFonts w:ascii="Times New Roman" w:hAnsi="Times New Roman" w:hint="eastAsia"/>
          <w:b/>
          <w:lang w:val="en-GB"/>
        </w:rPr>
        <w:t>：</w:t>
      </w:r>
    </w:p>
    <w:p w14:paraId="19ECD1F2" w14:textId="77777777" w:rsidR="004660A4" w:rsidRPr="00F462AC" w:rsidRDefault="004660A4" w:rsidP="004660A4">
      <w:pPr>
        <w:pStyle w:val="af8"/>
        <w:numPr>
          <w:ilvl w:val="0"/>
          <w:numId w:val="26"/>
        </w:numPr>
        <w:spacing w:beforeLines="50" w:before="120"/>
        <w:ind w:left="987"/>
        <w:rPr>
          <w:rFonts w:ascii="Times New Roman" w:hAnsi="Times New Roman"/>
          <w:b/>
          <w:sz w:val="20"/>
          <w:lang w:val="en-GB"/>
        </w:rPr>
      </w:pPr>
      <w:r w:rsidRPr="00F462AC">
        <w:rPr>
          <w:rFonts w:ascii="Times New Roman" w:hAnsi="Times New Roman"/>
          <w:b/>
          <w:sz w:val="20"/>
          <w:lang w:val="en-GB"/>
        </w:rPr>
        <w:t xml:space="preserve">If migrating IAB-node still sends the buffered RRC reconfiguration message, it will </w:t>
      </w:r>
      <w:r>
        <w:rPr>
          <w:rFonts w:ascii="Times New Roman" w:hAnsi="Times New Roman"/>
          <w:b/>
          <w:sz w:val="20"/>
          <w:lang w:val="en-GB"/>
        </w:rPr>
        <w:t>make</w:t>
      </w:r>
      <w:r w:rsidRPr="00F462AC">
        <w:rPr>
          <w:rFonts w:ascii="Times New Roman" w:hAnsi="Times New Roman"/>
          <w:b/>
          <w:sz w:val="20"/>
          <w:lang w:val="en-GB"/>
        </w:rPr>
        <w:t xml:space="preserve"> child IAB node to trigger TNL migration</w:t>
      </w:r>
      <w:r>
        <w:rPr>
          <w:rFonts w:ascii="Times New Roman" w:hAnsi="Times New Roman"/>
          <w:b/>
          <w:sz w:val="20"/>
          <w:lang w:val="en-GB"/>
        </w:rPr>
        <w:t xml:space="preserve"> incorrectly</w:t>
      </w:r>
      <w:r w:rsidRPr="00F462AC">
        <w:rPr>
          <w:rFonts w:ascii="Times New Roman" w:hAnsi="Times New Roman"/>
          <w:b/>
          <w:sz w:val="20"/>
          <w:lang w:val="en-GB"/>
        </w:rPr>
        <w:t xml:space="preserve">. </w:t>
      </w:r>
    </w:p>
    <w:p w14:paraId="2D3EED62" w14:textId="77777777" w:rsidR="004660A4" w:rsidRPr="00F462AC" w:rsidRDefault="004660A4" w:rsidP="004660A4">
      <w:pPr>
        <w:pStyle w:val="af8"/>
        <w:numPr>
          <w:ilvl w:val="0"/>
          <w:numId w:val="26"/>
        </w:numPr>
        <w:spacing w:beforeLines="50" w:before="120"/>
        <w:ind w:left="987"/>
        <w:rPr>
          <w:rFonts w:ascii="Times New Roman" w:hAnsi="Times New Roman"/>
          <w:b/>
          <w:sz w:val="20"/>
          <w:lang w:val="en-GB"/>
        </w:rPr>
      </w:pPr>
      <w:r w:rsidRPr="00F462AC">
        <w:rPr>
          <w:rFonts w:ascii="Times New Roman" w:hAnsi="Times New Roman"/>
          <w:b/>
          <w:sz w:val="20"/>
          <w:lang w:val="en-GB"/>
        </w:rPr>
        <w:t>Else if migrating IAB-node discards the buffered RRC reconfiguration message, it will cause the PDCP SN gap in PDCP layer and</w:t>
      </w:r>
      <w:r>
        <w:rPr>
          <w:rFonts w:ascii="Times New Roman" w:hAnsi="Times New Roman"/>
          <w:b/>
          <w:sz w:val="20"/>
          <w:lang w:val="en-GB"/>
        </w:rPr>
        <w:t xml:space="preserve"> the delivery of subsequent RRC messages may not be possible</w:t>
      </w:r>
      <w:r w:rsidRPr="00F462AC">
        <w:rPr>
          <w:rFonts w:ascii="Times New Roman" w:hAnsi="Times New Roman"/>
          <w:b/>
          <w:sz w:val="20"/>
          <w:lang w:val="en-GB" w:eastAsia="zh-CN"/>
        </w:rPr>
        <w:t>.</w:t>
      </w:r>
    </w:p>
    <w:p w14:paraId="6225927B" w14:textId="77777777" w:rsidR="004660A4" w:rsidRPr="005A41CD" w:rsidRDefault="004660A4" w:rsidP="004660A4">
      <w:pPr>
        <w:spacing w:beforeLines="50" w:before="120"/>
        <w:ind w:left="34"/>
        <w:rPr>
          <w:rFonts w:ascii="Times New Roman" w:hAnsi="Times New Roman"/>
          <w:b/>
          <w:u w:val="single"/>
          <w:lang w:val="en-GB"/>
        </w:rPr>
      </w:pPr>
      <w:r w:rsidRPr="00F462AC">
        <w:rPr>
          <w:rFonts w:ascii="Times New Roman" w:hAnsi="Times New Roman"/>
          <w:b/>
          <w:lang w:val="en-GB"/>
        </w:rPr>
        <w:t xml:space="preserve">Observation </w:t>
      </w:r>
      <w:r>
        <w:rPr>
          <w:rFonts w:ascii="Times New Roman" w:hAnsi="Times New Roman"/>
          <w:b/>
          <w:lang w:val="en-GB"/>
        </w:rPr>
        <w:t>8</w:t>
      </w:r>
      <w:r w:rsidRPr="00F462AC">
        <w:rPr>
          <w:rFonts w:ascii="Times New Roman" w:hAnsi="Times New Roman" w:hint="eastAsia"/>
          <w:b/>
          <w:lang w:val="en-GB"/>
        </w:rPr>
        <w:t>：</w:t>
      </w:r>
      <w:r w:rsidRPr="005A41CD">
        <w:rPr>
          <w:rFonts w:ascii="Times New Roman" w:hAnsi="Times New Roman"/>
          <w:b/>
          <w:lang w:val="en-GB"/>
        </w:rPr>
        <w:t>In case CU sends a new RRCReconfiguration message to the child node after the buffered RRCReconfiguration</w:t>
      </w:r>
      <w:r>
        <w:rPr>
          <w:rFonts w:ascii="Times New Roman" w:hAnsi="Times New Roman"/>
          <w:b/>
          <w:lang w:val="en-GB"/>
        </w:rPr>
        <w:t xml:space="preserve"> message</w:t>
      </w:r>
      <w:r w:rsidRPr="005A41CD">
        <w:rPr>
          <w:rFonts w:ascii="Times New Roman" w:hAnsi="Times New Roman"/>
          <w:b/>
          <w:lang w:val="en-GB"/>
        </w:rPr>
        <w:t xml:space="preserve">, the new RRCReconfiguration message will be delivered to the child </w:t>
      </w:r>
      <w:r>
        <w:rPr>
          <w:rFonts w:ascii="Times New Roman" w:hAnsi="Times New Roman"/>
          <w:b/>
          <w:lang w:val="en-GB"/>
        </w:rPr>
        <w:t>IAB-MT</w:t>
      </w:r>
      <w:r w:rsidRPr="005A41CD">
        <w:rPr>
          <w:rFonts w:ascii="Times New Roman" w:hAnsi="Times New Roman"/>
          <w:b/>
          <w:lang w:val="en-GB"/>
        </w:rPr>
        <w:t xml:space="preserve">’s RRC layer once </w:t>
      </w:r>
      <w:r>
        <w:rPr>
          <w:rFonts w:ascii="Times New Roman" w:hAnsi="Times New Roman"/>
          <w:b/>
          <w:lang w:val="en-GB"/>
        </w:rPr>
        <w:t>its</w:t>
      </w:r>
      <w:r w:rsidRPr="005A41CD">
        <w:rPr>
          <w:rFonts w:ascii="Times New Roman" w:hAnsi="Times New Roman"/>
          <w:b/>
          <w:lang w:val="en-GB"/>
        </w:rPr>
        <w:t xml:space="preserve"> PDCP reorder timer expires</w:t>
      </w:r>
      <w:r>
        <w:rPr>
          <w:rFonts w:ascii="Times New Roman" w:hAnsi="Times New Roman"/>
          <w:b/>
          <w:lang w:val="en-GB"/>
        </w:rPr>
        <w:t xml:space="preserve">, while the previous </w:t>
      </w:r>
      <w:r w:rsidRPr="005A41CD">
        <w:rPr>
          <w:rFonts w:ascii="Times New Roman" w:hAnsi="Times New Roman"/>
          <w:b/>
          <w:lang w:val="en-GB"/>
        </w:rPr>
        <w:t>RRCReconfiguration message</w:t>
      </w:r>
      <w:r>
        <w:rPr>
          <w:rFonts w:ascii="Times New Roman" w:hAnsi="Times New Roman"/>
          <w:b/>
          <w:lang w:val="en-GB"/>
        </w:rPr>
        <w:t xml:space="preserve"> is still buffered at parent node</w:t>
      </w:r>
      <w:r w:rsidRPr="005A41CD">
        <w:rPr>
          <w:rFonts w:ascii="Times New Roman" w:hAnsi="Times New Roman"/>
          <w:b/>
          <w:lang w:val="en-GB"/>
        </w:rPr>
        <w:t xml:space="preserve">. There will be RRC configuration mismatch </w:t>
      </w:r>
      <w:r>
        <w:rPr>
          <w:rFonts w:ascii="Times New Roman" w:hAnsi="Times New Roman"/>
          <w:b/>
          <w:lang w:val="en-GB"/>
        </w:rPr>
        <w:t xml:space="preserve">between child IAB-MT and CU, </w:t>
      </w:r>
      <w:r w:rsidRPr="005A41CD">
        <w:rPr>
          <w:rFonts w:ascii="Times New Roman" w:hAnsi="Times New Roman"/>
          <w:b/>
          <w:lang w:val="en-GB"/>
        </w:rPr>
        <w:t>due to the missing of the buffered RRCReconfiguration message.</w:t>
      </w:r>
    </w:p>
    <w:p w14:paraId="56715645" w14:textId="77777777" w:rsidR="004660A4" w:rsidRDefault="004660A4" w:rsidP="004660A4">
      <w:pPr>
        <w:rPr>
          <w:rFonts w:ascii="Times New Roman" w:hAnsi="Times New Roman"/>
          <w:b/>
        </w:rPr>
      </w:pPr>
    </w:p>
    <w:p w14:paraId="6137B2E2" w14:textId="77777777" w:rsidR="004660A4" w:rsidRPr="00056BAD" w:rsidRDefault="004660A4" w:rsidP="004660A4">
      <w:pPr>
        <w:rPr>
          <w:rFonts w:ascii="Times New Roman" w:hAnsi="Times New Roman"/>
          <w:b/>
        </w:rPr>
      </w:pPr>
      <w:r w:rsidRPr="00056BAD">
        <w:rPr>
          <w:rFonts w:ascii="Times New Roman" w:hAnsi="Times New Roman"/>
          <w:b/>
        </w:rPr>
        <w:t xml:space="preserve">Proposal 1: RAN2 </w:t>
      </w:r>
      <w:r>
        <w:rPr>
          <w:rFonts w:ascii="Times New Roman" w:hAnsi="Times New Roman"/>
          <w:b/>
        </w:rPr>
        <w:t xml:space="preserve">to </w:t>
      </w:r>
      <w:r w:rsidRPr="00056BAD">
        <w:rPr>
          <w:rFonts w:ascii="Times New Roman" w:hAnsi="Times New Roman"/>
          <w:b/>
        </w:rPr>
        <w:t>ask RAN3 for the following clarifications</w:t>
      </w:r>
      <w:r>
        <w:rPr>
          <w:rFonts w:ascii="Times New Roman" w:hAnsi="Times New Roman"/>
          <w:b/>
        </w:rPr>
        <w:t>/confirmations</w:t>
      </w:r>
      <w:r w:rsidRPr="00056BAD">
        <w:rPr>
          <w:rFonts w:ascii="Times New Roman" w:hAnsi="Times New Roman"/>
          <w:b/>
        </w:rPr>
        <w:t xml:space="preserve"> of Alt1:</w:t>
      </w:r>
    </w:p>
    <w:p w14:paraId="30D68562" w14:textId="77777777" w:rsidR="004660A4" w:rsidRPr="00BF75CA" w:rsidRDefault="004660A4" w:rsidP="00BF75CA">
      <w:pPr>
        <w:pStyle w:val="af8"/>
        <w:numPr>
          <w:ilvl w:val="0"/>
          <w:numId w:val="32"/>
        </w:numPr>
        <w:spacing w:after="180"/>
        <w:ind w:leftChars="150" w:left="657" w:hanging="357"/>
        <w:rPr>
          <w:rFonts w:ascii="Times New Roman" w:hAnsi="Times New Roman"/>
          <w:b/>
          <w:sz w:val="20"/>
          <w:lang w:val="en-GB" w:eastAsia="zh-CN"/>
        </w:rPr>
      </w:pPr>
      <w:r w:rsidRPr="004660A4">
        <w:rPr>
          <w:rFonts w:ascii="Times New Roman" w:hAnsi="Times New Roman"/>
          <w:b/>
          <w:sz w:val="20"/>
          <w:lang w:val="en-GB" w:eastAsia="zh-CN"/>
        </w:rPr>
        <w:t xml:space="preserve">Whether the two physical cells managed by two logical DUs are on different carriers? </w:t>
      </w:r>
    </w:p>
    <w:p w14:paraId="30C7CF0E" w14:textId="77777777" w:rsidR="004660A4" w:rsidRPr="004660A4" w:rsidRDefault="004660A4" w:rsidP="00BF75CA">
      <w:pPr>
        <w:pStyle w:val="af8"/>
        <w:numPr>
          <w:ilvl w:val="0"/>
          <w:numId w:val="32"/>
        </w:numPr>
        <w:spacing w:after="180"/>
        <w:ind w:leftChars="150" w:left="657" w:hanging="357"/>
        <w:rPr>
          <w:rFonts w:ascii="Times New Roman" w:eastAsiaTheme="minorEastAsia" w:hAnsi="Times New Roman"/>
          <w:b/>
          <w:lang w:val="en-US"/>
        </w:rPr>
      </w:pPr>
      <w:r w:rsidRPr="004660A4">
        <w:rPr>
          <w:rFonts w:ascii="Times New Roman" w:hAnsi="Times New Roman"/>
          <w:b/>
          <w:sz w:val="20"/>
          <w:lang w:val="en-GB" w:eastAsia="zh-CN"/>
        </w:rPr>
        <w:t>Whether the two logical DUs share one MT, when the two physical cells managed by two logical DUs are activated simultaneously for a period of time</w:t>
      </w:r>
      <w:r w:rsidRPr="004660A4">
        <w:rPr>
          <w:rFonts w:ascii="Times New Roman" w:hAnsi="Times New Roman" w:hint="eastAsia"/>
          <w:b/>
          <w:sz w:val="20"/>
          <w:lang w:val="en-GB" w:eastAsia="zh-CN"/>
        </w:rPr>
        <w:t>?</w:t>
      </w:r>
    </w:p>
    <w:p w14:paraId="7C5F0660" w14:textId="77777777" w:rsidR="004660A4" w:rsidRDefault="004660A4" w:rsidP="004660A4">
      <w:pPr>
        <w:overflowPunct/>
        <w:autoSpaceDE/>
        <w:autoSpaceDN/>
        <w:adjustRightInd/>
        <w:spacing w:after="0"/>
        <w:textAlignment w:val="auto"/>
        <w:rPr>
          <w:rFonts w:ascii="Times New Roman" w:hAnsi="Times New Roman"/>
          <w:b/>
          <w:lang w:val="x-none"/>
        </w:rPr>
      </w:pPr>
      <w:r w:rsidRPr="00056BAD">
        <w:rPr>
          <w:rFonts w:ascii="Times New Roman" w:hAnsi="Times New Roman"/>
          <w:b/>
          <w:lang w:val="x-none"/>
        </w:rPr>
        <w:t xml:space="preserve">Proposal </w:t>
      </w:r>
      <w:r>
        <w:rPr>
          <w:rFonts w:ascii="Times New Roman" w:hAnsi="Times New Roman"/>
          <w:b/>
          <w:lang w:val="x-none"/>
        </w:rPr>
        <w:t>2</w:t>
      </w:r>
      <w:r w:rsidRPr="00056BAD">
        <w:rPr>
          <w:rFonts w:ascii="Times New Roman" w:hAnsi="Times New Roman"/>
          <w:b/>
          <w:lang w:val="x-none"/>
        </w:rPr>
        <w:t xml:space="preserve">: RAN2 see the following technical </w:t>
      </w:r>
      <w:r w:rsidRPr="0025663F">
        <w:rPr>
          <w:rFonts w:ascii="Times New Roman" w:hAnsi="Times New Roman"/>
          <w:b/>
          <w:lang w:val="x-none"/>
        </w:rPr>
        <w:t>issue</w:t>
      </w:r>
      <w:r>
        <w:rPr>
          <w:rFonts w:ascii="Times New Roman" w:hAnsi="Times New Roman"/>
          <w:b/>
          <w:lang w:val="x-none"/>
        </w:rPr>
        <w:t>s</w:t>
      </w:r>
      <w:r w:rsidRPr="00056BAD">
        <w:rPr>
          <w:rFonts w:ascii="Times New Roman" w:hAnsi="Times New Roman"/>
          <w:b/>
          <w:lang w:val="x-none"/>
        </w:rPr>
        <w:t xml:space="preserve"> for Alt1:</w:t>
      </w:r>
    </w:p>
    <w:p w14:paraId="64849D37" w14:textId="77777777" w:rsidR="004660A4" w:rsidRPr="00056BAD" w:rsidRDefault="004660A4" w:rsidP="00BF75CA">
      <w:pPr>
        <w:pStyle w:val="af8"/>
        <w:numPr>
          <w:ilvl w:val="0"/>
          <w:numId w:val="33"/>
        </w:numPr>
        <w:spacing w:beforeLines="50" w:before="120"/>
        <w:ind w:leftChars="150" w:left="720"/>
        <w:rPr>
          <w:rFonts w:ascii="Times New Roman" w:hAnsi="Times New Roman"/>
          <w:b/>
          <w:sz w:val="20"/>
        </w:rPr>
      </w:pPr>
      <w:r w:rsidRPr="00BF75CA">
        <w:rPr>
          <w:rFonts w:ascii="Times New Roman" w:hAnsi="Times New Roman"/>
          <w:b/>
          <w:sz w:val="20"/>
        </w:rPr>
        <w:t>How should the BAP layer at boundary IAB-MT apply the F1AP configurations received from two CUs via two logical DUs?</w:t>
      </w:r>
    </w:p>
    <w:p w14:paraId="4E902910" w14:textId="77777777" w:rsidR="004660A4" w:rsidRDefault="004660A4" w:rsidP="00BF75CA">
      <w:pPr>
        <w:pStyle w:val="af8"/>
        <w:numPr>
          <w:ilvl w:val="0"/>
          <w:numId w:val="33"/>
        </w:numPr>
        <w:spacing w:beforeLines="50" w:before="120"/>
        <w:ind w:leftChars="150" w:left="720"/>
        <w:rPr>
          <w:rFonts w:ascii="Times New Roman" w:hAnsi="Times New Roman"/>
          <w:b/>
          <w:sz w:val="20"/>
        </w:rPr>
      </w:pPr>
      <w:r w:rsidRPr="00056BAD">
        <w:rPr>
          <w:rFonts w:ascii="Times New Roman" w:hAnsi="Times New Roman"/>
          <w:b/>
          <w:sz w:val="20"/>
        </w:rPr>
        <w:t xml:space="preserve">How </w:t>
      </w:r>
      <w:r w:rsidRPr="00056BAD">
        <w:rPr>
          <w:rFonts w:ascii="Times New Roman" w:hAnsi="Times New Roman"/>
          <w:b/>
          <w:sz w:val="20"/>
          <w:lang w:val="en-GB"/>
        </w:rPr>
        <w:t>should</w:t>
      </w:r>
      <w:r w:rsidRPr="00056BAD">
        <w:rPr>
          <w:rFonts w:ascii="Times New Roman" w:hAnsi="Times New Roman"/>
          <w:b/>
          <w:sz w:val="20"/>
        </w:rPr>
        <w:t xml:space="preserve"> the BAP entity at the boundary IAB-MT differentiate the DL traffic to source and target logical DU?</w:t>
      </w:r>
    </w:p>
    <w:p w14:paraId="550769E2" w14:textId="77777777" w:rsidR="004660A4" w:rsidRDefault="004660A4" w:rsidP="004660A4">
      <w:pPr>
        <w:overflowPunct/>
        <w:autoSpaceDE/>
        <w:autoSpaceDN/>
        <w:adjustRightInd/>
        <w:spacing w:after="0"/>
        <w:textAlignment w:val="auto"/>
        <w:rPr>
          <w:rFonts w:ascii="Times New Roman" w:hAnsi="Times New Roman"/>
          <w:b/>
          <w:lang w:val="x-none"/>
        </w:rPr>
      </w:pPr>
    </w:p>
    <w:p w14:paraId="0B841BBD" w14:textId="77777777" w:rsidR="004660A4" w:rsidRDefault="004660A4" w:rsidP="004660A4">
      <w:pPr>
        <w:overflowPunct/>
        <w:autoSpaceDE/>
        <w:autoSpaceDN/>
        <w:adjustRightInd/>
        <w:spacing w:after="0"/>
        <w:textAlignment w:val="auto"/>
        <w:rPr>
          <w:rFonts w:ascii="Times New Roman" w:hAnsi="Times New Roman"/>
          <w:b/>
          <w:lang w:val="x-none"/>
        </w:rPr>
      </w:pPr>
      <w:r w:rsidRPr="00056BAD">
        <w:rPr>
          <w:rFonts w:ascii="Times New Roman" w:hAnsi="Times New Roman"/>
          <w:b/>
          <w:lang w:val="x-none"/>
        </w:rPr>
        <w:t xml:space="preserve">Proposal </w:t>
      </w:r>
      <w:r>
        <w:rPr>
          <w:rFonts w:ascii="Times New Roman" w:hAnsi="Times New Roman"/>
          <w:b/>
          <w:lang w:val="x-none"/>
        </w:rPr>
        <w:t>3</w:t>
      </w:r>
      <w:r w:rsidRPr="00056BAD">
        <w:rPr>
          <w:rFonts w:ascii="Times New Roman" w:hAnsi="Times New Roman"/>
          <w:b/>
          <w:lang w:val="x-none"/>
        </w:rPr>
        <w:t xml:space="preserve">: RAN2 see the following technical </w:t>
      </w:r>
      <w:r>
        <w:rPr>
          <w:rFonts w:ascii="Times New Roman" w:hAnsi="Times New Roman"/>
          <w:b/>
          <w:lang w:val="x-none"/>
        </w:rPr>
        <w:t>issues</w:t>
      </w:r>
      <w:r w:rsidRPr="00056BAD">
        <w:rPr>
          <w:rFonts w:ascii="Times New Roman" w:hAnsi="Times New Roman"/>
          <w:b/>
          <w:lang w:val="x-none"/>
        </w:rPr>
        <w:t xml:space="preserve"> for Alt</w:t>
      </w:r>
      <w:r>
        <w:rPr>
          <w:rFonts w:ascii="Times New Roman" w:hAnsi="Times New Roman"/>
          <w:b/>
          <w:lang w:val="x-none"/>
        </w:rPr>
        <w:t>2</w:t>
      </w:r>
      <w:r w:rsidRPr="00056BAD">
        <w:rPr>
          <w:rFonts w:ascii="Times New Roman" w:hAnsi="Times New Roman"/>
          <w:b/>
          <w:lang w:val="x-none"/>
        </w:rPr>
        <w:t>:</w:t>
      </w:r>
    </w:p>
    <w:p w14:paraId="6628DBBA" w14:textId="77777777" w:rsidR="004660A4" w:rsidRPr="00056BAD" w:rsidRDefault="004660A4" w:rsidP="00BF75CA">
      <w:pPr>
        <w:pStyle w:val="af8"/>
        <w:numPr>
          <w:ilvl w:val="0"/>
          <w:numId w:val="35"/>
        </w:numPr>
        <w:spacing w:beforeLines="50" w:before="120"/>
        <w:ind w:leftChars="150" w:left="720"/>
        <w:rPr>
          <w:rFonts w:ascii="Times New Roman" w:hAnsi="Times New Roman"/>
          <w:b/>
          <w:sz w:val="20"/>
        </w:rPr>
      </w:pPr>
      <w:bookmarkStart w:id="16" w:name="_GoBack"/>
      <w:r w:rsidRPr="00BF75CA">
        <w:rPr>
          <w:rFonts w:ascii="Times New Roman" w:hAnsi="Times New Roman"/>
          <w:b/>
          <w:sz w:val="20"/>
        </w:rPr>
        <w:t>How should the BAP layer at boundary IAB-MT apply the F1AP configurations received from two CUs via two logical DUs?</w:t>
      </w:r>
    </w:p>
    <w:bookmarkEnd w:id="16"/>
    <w:p w14:paraId="48826601" w14:textId="77777777" w:rsidR="004660A4" w:rsidRDefault="004660A4" w:rsidP="00BF75CA">
      <w:pPr>
        <w:pStyle w:val="af8"/>
        <w:numPr>
          <w:ilvl w:val="0"/>
          <w:numId w:val="35"/>
        </w:numPr>
        <w:spacing w:beforeLines="50" w:before="120"/>
        <w:ind w:leftChars="150" w:left="720"/>
        <w:rPr>
          <w:rFonts w:ascii="Times New Roman" w:hAnsi="Times New Roman"/>
          <w:b/>
          <w:sz w:val="20"/>
        </w:rPr>
      </w:pPr>
      <w:r w:rsidRPr="00056BAD">
        <w:rPr>
          <w:rFonts w:ascii="Times New Roman" w:hAnsi="Times New Roman"/>
          <w:b/>
          <w:sz w:val="20"/>
        </w:rPr>
        <w:t xml:space="preserve">How </w:t>
      </w:r>
      <w:r w:rsidRPr="00BF75CA">
        <w:rPr>
          <w:rFonts w:ascii="Times New Roman" w:hAnsi="Times New Roman"/>
          <w:b/>
          <w:sz w:val="20"/>
        </w:rPr>
        <w:t>should</w:t>
      </w:r>
      <w:r w:rsidRPr="00056BAD">
        <w:rPr>
          <w:rFonts w:ascii="Times New Roman" w:hAnsi="Times New Roman"/>
          <w:b/>
          <w:sz w:val="20"/>
        </w:rPr>
        <w:t xml:space="preserve"> the BAP entity at the boundary IAB-MT differentiate the DL traffic to source and target logical DU?</w:t>
      </w:r>
    </w:p>
    <w:p w14:paraId="4D9022BB" w14:textId="77777777" w:rsidR="004660A4" w:rsidRDefault="004660A4" w:rsidP="00BF75CA">
      <w:pPr>
        <w:pStyle w:val="af8"/>
        <w:numPr>
          <w:ilvl w:val="0"/>
          <w:numId w:val="35"/>
        </w:numPr>
        <w:spacing w:beforeLines="50" w:before="120"/>
        <w:ind w:leftChars="150" w:left="720"/>
        <w:rPr>
          <w:rFonts w:ascii="Times New Roman" w:hAnsi="Times New Roman"/>
          <w:b/>
          <w:sz w:val="20"/>
        </w:rPr>
      </w:pPr>
      <w:r>
        <w:rPr>
          <w:rFonts w:ascii="Times New Roman" w:hAnsi="Times New Roman"/>
          <w:b/>
          <w:sz w:val="20"/>
        </w:rPr>
        <w:t>W</w:t>
      </w:r>
      <w:r w:rsidRPr="009968CC">
        <w:rPr>
          <w:rFonts w:ascii="Times New Roman" w:hAnsi="Times New Roman"/>
          <w:b/>
          <w:sz w:val="20"/>
        </w:rPr>
        <w:t>hen does the boundary IAB-DU switch from the source CU configuration to the target CU configuration (e.g. how to ensure all the required HO commands are sent before</w:t>
      </w:r>
      <w:r>
        <w:rPr>
          <w:rFonts w:ascii="Times New Roman" w:hAnsi="Times New Roman"/>
          <w:b/>
          <w:sz w:val="20"/>
        </w:rPr>
        <w:t xml:space="preserve"> the</w:t>
      </w:r>
      <w:r w:rsidRPr="009968CC">
        <w:rPr>
          <w:rFonts w:ascii="Times New Roman" w:hAnsi="Times New Roman"/>
          <w:b/>
          <w:sz w:val="20"/>
        </w:rPr>
        <w:t xml:space="preserve"> switching)?</w:t>
      </w:r>
    </w:p>
    <w:p w14:paraId="2D914F21" w14:textId="77777777" w:rsidR="004660A4" w:rsidRPr="00BF75CA" w:rsidRDefault="004660A4" w:rsidP="00BF75CA">
      <w:pPr>
        <w:pStyle w:val="af8"/>
        <w:numPr>
          <w:ilvl w:val="0"/>
          <w:numId w:val="35"/>
        </w:numPr>
        <w:spacing w:beforeLines="50" w:before="120"/>
        <w:ind w:leftChars="150" w:left="720"/>
        <w:rPr>
          <w:rFonts w:ascii="Times New Roman" w:hAnsi="Times New Roman"/>
          <w:b/>
          <w:sz w:val="20"/>
        </w:rPr>
      </w:pPr>
      <w:r>
        <w:rPr>
          <w:rFonts w:ascii="Times New Roman" w:hAnsi="Times New Roman"/>
          <w:b/>
          <w:sz w:val="20"/>
        </w:rPr>
        <w:t>S</w:t>
      </w:r>
      <w:r w:rsidRPr="009968CC">
        <w:rPr>
          <w:rFonts w:ascii="Times New Roman" w:hAnsi="Times New Roman"/>
          <w:b/>
          <w:sz w:val="20"/>
        </w:rPr>
        <w:t xml:space="preserve">ince child MTs/UEs of the boundary node </w:t>
      </w:r>
      <w:r>
        <w:rPr>
          <w:rFonts w:ascii="Times New Roman" w:hAnsi="Times New Roman"/>
          <w:b/>
          <w:sz w:val="20"/>
        </w:rPr>
        <w:t xml:space="preserve">should </w:t>
      </w:r>
      <w:r w:rsidRPr="009968CC">
        <w:rPr>
          <w:rFonts w:ascii="Times New Roman" w:hAnsi="Times New Roman"/>
          <w:b/>
          <w:sz w:val="20"/>
        </w:rPr>
        <w:t xml:space="preserve">receive </w:t>
      </w:r>
      <w:r>
        <w:rPr>
          <w:rFonts w:ascii="Times New Roman" w:hAnsi="Times New Roman"/>
          <w:b/>
          <w:sz w:val="20"/>
        </w:rPr>
        <w:t>their</w:t>
      </w:r>
      <w:r w:rsidRPr="009968CC">
        <w:rPr>
          <w:rFonts w:ascii="Times New Roman" w:hAnsi="Times New Roman"/>
          <w:b/>
          <w:sz w:val="20"/>
        </w:rPr>
        <w:t xml:space="preserve"> HO command</w:t>
      </w:r>
      <w:r>
        <w:rPr>
          <w:rFonts w:ascii="Times New Roman" w:hAnsi="Times New Roman"/>
          <w:b/>
          <w:sz w:val="20"/>
        </w:rPr>
        <w:t>s</w:t>
      </w:r>
      <w:r w:rsidRPr="009968CC">
        <w:rPr>
          <w:rFonts w:ascii="Times New Roman" w:hAnsi="Times New Roman"/>
          <w:b/>
          <w:sz w:val="20"/>
        </w:rPr>
        <w:t xml:space="preserve"> before </w:t>
      </w:r>
      <w:r>
        <w:rPr>
          <w:rFonts w:ascii="Times New Roman" w:hAnsi="Times New Roman"/>
          <w:b/>
          <w:sz w:val="20"/>
        </w:rPr>
        <w:t xml:space="preserve">the </w:t>
      </w:r>
      <w:r w:rsidRPr="009968CC">
        <w:rPr>
          <w:rFonts w:ascii="Times New Roman" w:hAnsi="Times New Roman"/>
          <w:b/>
          <w:sz w:val="20"/>
        </w:rPr>
        <w:t xml:space="preserve">boundary IAB-DU switching (i.e. </w:t>
      </w:r>
      <w:r>
        <w:rPr>
          <w:rFonts w:ascii="Times New Roman" w:hAnsi="Times New Roman"/>
          <w:b/>
          <w:sz w:val="20"/>
        </w:rPr>
        <w:t xml:space="preserve">when </w:t>
      </w:r>
      <w:r w:rsidRPr="009968CC">
        <w:rPr>
          <w:rFonts w:ascii="Times New Roman" w:hAnsi="Times New Roman"/>
          <w:b/>
          <w:sz w:val="20"/>
        </w:rPr>
        <w:t xml:space="preserve">target configuration is not ready yet), child MTs/UEs </w:t>
      </w:r>
      <w:r>
        <w:rPr>
          <w:rFonts w:ascii="Times New Roman" w:hAnsi="Times New Roman"/>
          <w:b/>
          <w:sz w:val="20"/>
        </w:rPr>
        <w:t>are</w:t>
      </w:r>
      <w:r w:rsidRPr="009968CC">
        <w:rPr>
          <w:rFonts w:ascii="Times New Roman" w:hAnsi="Times New Roman"/>
          <w:b/>
          <w:sz w:val="20"/>
        </w:rPr>
        <w:t xml:space="preserve"> not able to perform RA</w:t>
      </w:r>
      <w:r>
        <w:rPr>
          <w:rFonts w:ascii="Times New Roman" w:hAnsi="Times New Roman"/>
          <w:b/>
          <w:sz w:val="20"/>
        </w:rPr>
        <w:t>CH</w:t>
      </w:r>
      <w:r w:rsidRPr="009968CC">
        <w:rPr>
          <w:rFonts w:ascii="Times New Roman" w:hAnsi="Times New Roman"/>
          <w:b/>
          <w:sz w:val="20"/>
        </w:rPr>
        <w:t xml:space="preserve"> to the target cell of the target logical DU</w:t>
      </w:r>
      <w:r>
        <w:rPr>
          <w:rFonts w:ascii="Times New Roman" w:hAnsi="Times New Roman"/>
          <w:b/>
          <w:sz w:val="20"/>
        </w:rPr>
        <w:t>.</w:t>
      </w:r>
    </w:p>
    <w:p w14:paraId="1875F49F" w14:textId="77777777" w:rsidR="004660A4" w:rsidRDefault="004660A4" w:rsidP="004660A4">
      <w:pPr>
        <w:rPr>
          <w:rFonts w:ascii="Times New Roman" w:hAnsi="Times New Roman"/>
          <w:b/>
        </w:rPr>
      </w:pPr>
    </w:p>
    <w:p w14:paraId="4EF2E782" w14:textId="77777777" w:rsidR="004660A4" w:rsidRPr="00E73B7E" w:rsidRDefault="004660A4" w:rsidP="004660A4">
      <w:pPr>
        <w:rPr>
          <w:rFonts w:ascii="Times New Roman" w:hAnsi="Times New Roman"/>
          <w:b/>
        </w:rPr>
      </w:pPr>
      <w:r w:rsidRPr="00E73B7E">
        <w:rPr>
          <w:rFonts w:ascii="Times New Roman" w:hAnsi="Times New Roman"/>
          <w:b/>
        </w:rPr>
        <w:t xml:space="preserve">Proposal </w:t>
      </w:r>
      <w:r>
        <w:rPr>
          <w:rFonts w:ascii="Times New Roman" w:hAnsi="Times New Roman"/>
          <w:b/>
        </w:rPr>
        <w:t>4: For Q1/2/3 of A</w:t>
      </w:r>
      <w:r w:rsidRPr="00E73B7E">
        <w:rPr>
          <w:rFonts w:ascii="Times New Roman" w:hAnsi="Times New Roman"/>
          <w:b/>
        </w:rPr>
        <w:t>lt2 in the R3 LS R3-212981, RAN2 provides the following feedback:</w:t>
      </w:r>
    </w:p>
    <w:p w14:paraId="57A855A5" w14:textId="77777777" w:rsidR="004660A4" w:rsidRDefault="004660A4" w:rsidP="004660A4">
      <w:pPr>
        <w:pStyle w:val="af8"/>
        <w:numPr>
          <w:ilvl w:val="0"/>
          <w:numId w:val="25"/>
        </w:numPr>
        <w:spacing w:afterLines="50" w:after="120"/>
        <w:rPr>
          <w:rFonts w:ascii="Times New Roman" w:hAnsi="Times New Roman"/>
          <w:b/>
          <w:sz w:val="20"/>
        </w:rPr>
      </w:pPr>
      <w:r w:rsidRPr="00E73B7E">
        <w:rPr>
          <w:rFonts w:ascii="Times New Roman" w:hAnsi="Times New Roman"/>
          <w:b/>
          <w:sz w:val="20"/>
        </w:rPr>
        <w:t xml:space="preserve">In Alt2, it is possible to keep the PCI unchanged for the cell 1 and cell 2. </w:t>
      </w:r>
    </w:p>
    <w:p w14:paraId="6FEA7899" w14:textId="77777777" w:rsidR="004660A4" w:rsidRPr="00E73B7E" w:rsidRDefault="004660A4" w:rsidP="004660A4">
      <w:pPr>
        <w:pStyle w:val="af8"/>
        <w:numPr>
          <w:ilvl w:val="0"/>
          <w:numId w:val="25"/>
        </w:numPr>
        <w:spacing w:afterLines="50" w:after="120"/>
        <w:rPr>
          <w:rFonts w:ascii="Times New Roman" w:hAnsi="Times New Roman"/>
          <w:b/>
          <w:sz w:val="20"/>
        </w:rPr>
      </w:pPr>
      <w:r>
        <w:rPr>
          <w:rFonts w:ascii="Times New Roman" w:hAnsi="Times New Roman"/>
          <w:b/>
          <w:sz w:val="20"/>
        </w:rPr>
        <w:t xml:space="preserve">In Alt2, </w:t>
      </w:r>
      <w:r w:rsidRPr="00E73B7E">
        <w:rPr>
          <w:rFonts w:ascii="Times New Roman" w:hAnsi="Times New Roman"/>
          <w:b/>
          <w:sz w:val="20"/>
        </w:rPr>
        <w:t>it is impossible for a legacy UE to connect the target CU without performing HO procedure for the full migration case.</w:t>
      </w:r>
    </w:p>
    <w:p w14:paraId="112187BC" w14:textId="77777777" w:rsidR="004660A4" w:rsidRPr="008E30C7" w:rsidRDefault="004660A4" w:rsidP="004660A4">
      <w:pPr>
        <w:pStyle w:val="af8"/>
        <w:numPr>
          <w:ilvl w:val="0"/>
          <w:numId w:val="25"/>
        </w:numPr>
        <w:rPr>
          <w:rFonts w:ascii="Times New Roman" w:hAnsi="Times New Roman"/>
          <w:b/>
          <w:sz w:val="20"/>
          <w:szCs w:val="20"/>
        </w:rPr>
      </w:pPr>
      <w:r>
        <w:rPr>
          <w:rFonts w:ascii="Times New Roman" w:hAnsi="Times New Roman"/>
          <w:b/>
          <w:sz w:val="20"/>
          <w:szCs w:val="20"/>
        </w:rPr>
        <w:t>In Alt</w:t>
      </w:r>
      <w:r w:rsidRPr="00E73B7E">
        <w:rPr>
          <w:rFonts w:ascii="Times New Roman" w:hAnsi="Times New Roman"/>
          <w:b/>
          <w:sz w:val="20"/>
          <w:szCs w:val="20"/>
        </w:rPr>
        <w:t>2, it is impossible to support legacy UEs’ HO from cell 1 to cell 2, while the two cells using one set of shared resources. There are at least two technical issues to be solved:</w:t>
      </w:r>
      <w:r w:rsidRPr="00E73B7E">
        <w:rPr>
          <w:b/>
          <w:sz w:val="20"/>
          <w:szCs w:val="20"/>
        </w:rPr>
        <w:t xml:space="preserve"> </w:t>
      </w:r>
    </w:p>
    <w:p w14:paraId="4E60FE67" w14:textId="77777777" w:rsidR="004660A4" w:rsidRDefault="004660A4" w:rsidP="004660A4">
      <w:pPr>
        <w:pStyle w:val="af8"/>
        <w:numPr>
          <w:ilvl w:val="1"/>
          <w:numId w:val="25"/>
        </w:numPr>
        <w:rPr>
          <w:rFonts w:ascii="Times New Roman" w:hAnsi="Times New Roman"/>
          <w:b/>
          <w:sz w:val="20"/>
          <w:szCs w:val="20"/>
        </w:rPr>
      </w:pPr>
      <w:r w:rsidRPr="00E73B7E">
        <w:rPr>
          <w:rFonts w:ascii="Times New Roman" w:hAnsi="Times New Roman"/>
          <w:b/>
          <w:sz w:val="20"/>
          <w:szCs w:val="20"/>
        </w:rPr>
        <w:t>1)</w:t>
      </w:r>
      <w:r w:rsidRPr="00E73B7E">
        <w:rPr>
          <w:rFonts w:ascii="Times New Roman" w:hAnsi="Times New Roman"/>
          <w:b/>
          <w:sz w:val="20"/>
          <w:szCs w:val="20"/>
        </w:rPr>
        <w:tab/>
        <w:t xml:space="preserve">When the IAB-DU switch from cell 1 to cell 2 (e.g. how to ensure all the required HO commands are sent before </w:t>
      </w:r>
      <w:r>
        <w:rPr>
          <w:rFonts w:ascii="Times New Roman" w:hAnsi="Times New Roman"/>
          <w:b/>
          <w:sz w:val="20"/>
          <w:szCs w:val="20"/>
        </w:rPr>
        <w:t xml:space="preserve">the </w:t>
      </w:r>
      <w:r w:rsidRPr="00E73B7E">
        <w:rPr>
          <w:rFonts w:ascii="Times New Roman" w:hAnsi="Times New Roman"/>
          <w:b/>
          <w:sz w:val="20"/>
          <w:szCs w:val="20"/>
        </w:rPr>
        <w:t xml:space="preserve">switching)?  </w:t>
      </w:r>
    </w:p>
    <w:p w14:paraId="7A0C9DB7" w14:textId="77777777" w:rsidR="004660A4" w:rsidRPr="00E73B7E" w:rsidRDefault="004660A4" w:rsidP="004660A4">
      <w:pPr>
        <w:pStyle w:val="af8"/>
        <w:numPr>
          <w:ilvl w:val="1"/>
          <w:numId w:val="25"/>
        </w:numPr>
        <w:rPr>
          <w:rFonts w:ascii="Times New Roman" w:hAnsi="Times New Roman"/>
          <w:b/>
          <w:sz w:val="20"/>
          <w:szCs w:val="20"/>
        </w:rPr>
      </w:pPr>
      <w:r w:rsidRPr="00E73B7E">
        <w:rPr>
          <w:rFonts w:ascii="Times New Roman" w:hAnsi="Times New Roman"/>
          <w:b/>
          <w:sz w:val="20"/>
          <w:szCs w:val="20"/>
        </w:rPr>
        <w:t>2)</w:t>
      </w:r>
      <w:r>
        <w:rPr>
          <w:rFonts w:ascii="Times New Roman" w:hAnsi="Times New Roman"/>
          <w:b/>
          <w:sz w:val="20"/>
          <w:szCs w:val="20"/>
        </w:rPr>
        <w:tab/>
      </w:r>
      <w:r w:rsidRPr="00E73B7E">
        <w:rPr>
          <w:rFonts w:ascii="Times New Roman" w:hAnsi="Times New Roman"/>
          <w:b/>
          <w:sz w:val="20"/>
          <w:szCs w:val="20"/>
        </w:rPr>
        <w:t xml:space="preserve">Since child MTs/UEs of the boundary node receive </w:t>
      </w:r>
      <w:r>
        <w:rPr>
          <w:rFonts w:ascii="Times New Roman" w:hAnsi="Times New Roman"/>
          <w:b/>
          <w:sz w:val="20"/>
          <w:szCs w:val="20"/>
        </w:rPr>
        <w:t>their</w:t>
      </w:r>
      <w:r w:rsidRPr="00E73B7E">
        <w:rPr>
          <w:rFonts w:ascii="Times New Roman" w:hAnsi="Times New Roman"/>
          <w:b/>
          <w:sz w:val="20"/>
          <w:szCs w:val="20"/>
        </w:rPr>
        <w:t xml:space="preserve"> HO command</w:t>
      </w:r>
      <w:r>
        <w:rPr>
          <w:rFonts w:ascii="Times New Roman" w:hAnsi="Times New Roman"/>
          <w:b/>
          <w:sz w:val="20"/>
          <w:szCs w:val="20"/>
        </w:rPr>
        <w:t>s</w:t>
      </w:r>
      <w:r w:rsidRPr="00E73B7E">
        <w:rPr>
          <w:rFonts w:ascii="Times New Roman" w:hAnsi="Times New Roman"/>
          <w:b/>
          <w:sz w:val="20"/>
          <w:szCs w:val="20"/>
        </w:rPr>
        <w:t xml:space="preserve"> before </w:t>
      </w:r>
      <w:r>
        <w:rPr>
          <w:rFonts w:ascii="Times New Roman" w:hAnsi="Times New Roman"/>
          <w:b/>
          <w:sz w:val="20"/>
          <w:szCs w:val="20"/>
        </w:rPr>
        <w:t xml:space="preserve">the </w:t>
      </w:r>
      <w:r w:rsidRPr="00E73B7E">
        <w:rPr>
          <w:rFonts w:ascii="Times New Roman" w:hAnsi="Times New Roman"/>
          <w:b/>
          <w:sz w:val="20"/>
          <w:szCs w:val="20"/>
        </w:rPr>
        <w:t xml:space="preserve">boundary IAB-DU switching (i.e. </w:t>
      </w:r>
      <w:r>
        <w:rPr>
          <w:rFonts w:ascii="Times New Roman" w:hAnsi="Times New Roman"/>
          <w:b/>
          <w:sz w:val="20"/>
          <w:szCs w:val="20"/>
        </w:rPr>
        <w:t xml:space="preserve">when </w:t>
      </w:r>
      <w:r w:rsidRPr="00E73B7E">
        <w:rPr>
          <w:rFonts w:ascii="Times New Roman" w:hAnsi="Times New Roman"/>
          <w:b/>
          <w:sz w:val="20"/>
          <w:szCs w:val="20"/>
        </w:rPr>
        <w:t xml:space="preserve">target configuration is not ready yet), child MTs/UEs </w:t>
      </w:r>
      <w:r>
        <w:rPr>
          <w:rFonts w:ascii="Times New Roman" w:hAnsi="Times New Roman"/>
          <w:b/>
          <w:sz w:val="20"/>
          <w:szCs w:val="20"/>
        </w:rPr>
        <w:t>are</w:t>
      </w:r>
      <w:r w:rsidRPr="00E73B7E">
        <w:rPr>
          <w:rFonts w:ascii="Times New Roman" w:hAnsi="Times New Roman"/>
          <w:b/>
          <w:sz w:val="20"/>
          <w:szCs w:val="20"/>
        </w:rPr>
        <w:t xml:space="preserve"> not able to perform RA</w:t>
      </w:r>
      <w:r>
        <w:rPr>
          <w:rFonts w:ascii="Times New Roman" w:hAnsi="Times New Roman"/>
          <w:b/>
          <w:sz w:val="20"/>
          <w:szCs w:val="20"/>
        </w:rPr>
        <w:t>CH</w:t>
      </w:r>
      <w:r w:rsidRPr="00E73B7E">
        <w:rPr>
          <w:rFonts w:ascii="Times New Roman" w:hAnsi="Times New Roman"/>
          <w:b/>
          <w:sz w:val="20"/>
          <w:szCs w:val="20"/>
        </w:rPr>
        <w:t xml:space="preserve"> to the target cell of the target logical DU.</w:t>
      </w:r>
    </w:p>
    <w:p w14:paraId="790199AF" w14:textId="77777777" w:rsidR="004660A4" w:rsidRDefault="004660A4" w:rsidP="004660A4">
      <w:pPr>
        <w:spacing w:beforeLines="50" w:before="120"/>
        <w:ind w:left="34"/>
        <w:rPr>
          <w:rFonts w:ascii="Times New Roman" w:hAnsi="Times New Roman"/>
          <w:b/>
          <w:lang w:val="en-GB"/>
        </w:rPr>
      </w:pPr>
      <w:r>
        <w:rPr>
          <w:rFonts w:ascii="Times New Roman" w:hAnsi="Times New Roman"/>
          <w:b/>
          <w:lang w:val="en-GB"/>
        </w:rPr>
        <w:t xml:space="preserve">Proposal 5: </w:t>
      </w:r>
      <w:r w:rsidRPr="00403E02">
        <w:rPr>
          <w:rFonts w:ascii="Times New Roman" w:hAnsi="Times New Roman"/>
          <w:b/>
          <w:lang w:val="en-GB"/>
        </w:rPr>
        <w:t xml:space="preserve">Regardless of solution 1 or solution </w:t>
      </w:r>
      <w:r>
        <w:rPr>
          <w:rFonts w:ascii="Times New Roman" w:hAnsi="Times New Roman"/>
          <w:b/>
          <w:lang w:val="en-GB"/>
        </w:rPr>
        <w:t>2, the RRCReconfigura</w:t>
      </w:r>
      <w:r w:rsidRPr="00403E02">
        <w:rPr>
          <w:rFonts w:ascii="Times New Roman" w:hAnsi="Times New Roman"/>
          <w:b/>
          <w:lang w:val="en-GB"/>
        </w:rPr>
        <w:t>t</w:t>
      </w:r>
      <w:r>
        <w:rPr>
          <w:rFonts w:ascii="Times New Roman" w:hAnsi="Times New Roman"/>
          <w:b/>
          <w:lang w:val="en-GB"/>
        </w:rPr>
        <w:t>i</w:t>
      </w:r>
      <w:r w:rsidRPr="00403E02">
        <w:rPr>
          <w:rFonts w:ascii="Times New Roman" w:hAnsi="Times New Roman"/>
          <w:b/>
          <w:lang w:val="en-GB"/>
        </w:rPr>
        <w:t>on to child MT should be applied (i.e. sent to child in sol.1 or executed based on L2 indication to child in sol.2), after the migrating IAB-node is reconfigured with the BAP routing via F1AP, rather than just after the RA success of migrating IAB-node.</w:t>
      </w:r>
    </w:p>
    <w:p w14:paraId="5E0D1EB7" w14:textId="77777777" w:rsidR="004660A4" w:rsidRDefault="004660A4" w:rsidP="004660A4">
      <w:pPr>
        <w:spacing w:beforeLines="50" w:before="120"/>
        <w:ind w:left="34"/>
        <w:rPr>
          <w:rFonts w:ascii="Times New Roman" w:hAnsi="Times New Roman"/>
          <w:b/>
          <w:lang w:val="en-GB"/>
        </w:rPr>
      </w:pPr>
      <w:r>
        <w:rPr>
          <w:rFonts w:ascii="Times New Roman" w:hAnsi="Times New Roman"/>
          <w:b/>
          <w:lang w:val="en-GB"/>
        </w:rPr>
        <w:t xml:space="preserve">Proposal 6: </w:t>
      </w:r>
      <w:r w:rsidRPr="00262072">
        <w:rPr>
          <w:rFonts w:ascii="Times New Roman" w:hAnsi="Times New Roman"/>
          <w:b/>
          <w:lang w:val="en-GB"/>
        </w:rPr>
        <w:t xml:space="preserve">RAN2 </w:t>
      </w:r>
      <w:r>
        <w:rPr>
          <w:rFonts w:ascii="Times New Roman" w:hAnsi="Times New Roman"/>
          <w:b/>
          <w:lang w:val="en-GB"/>
        </w:rPr>
        <w:t xml:space="preserve">prefer solution 2 when to </w:t>
      </w:r>
      <w:r w:rsidRPr="00262072">
        <w:rPr>
          <w:rFonts w:ascii="Times New Roman" w:hAnsi="Times New Roman"/>
          <w:b/>
          <w:lang w:val="en-GB"/>
        </w:rPr>
        <w:t>repl</w:t>
      </w:r>
      <w:r>
        <w:rPr>
          <w:rFonts w:ascii="Times New Roman" w:hAnsi="Times New Roman"/>
          <w:b/>
          <w:lang w:val="en-GB"/>
        </w:rPr>
        <w:t>y</w:t>
      </w:r>
      <w:r w:rsidRPr="00262072">
        <w:rPr>
          <w:rFonts w:ascii="Times New Roman" w:hAnsi="Times New Roman"/>
          <w:b/>
          <w:lang w:val="en-GB"/>
        </w:rPr>
        <w:t xml:space="preserve"> the RAN3 LS</w:t>
      </w:r>
      <w:r w:rsidRPr="002D3D2A">
        <w:t xml:space="preserve"> </w:t>
      </w:r>
      <w:r w:rsidRPr="002D3D2A">
        <w:rPr>
          <w:rFonts w:ascii="Times New Roman" w:hAnsi="Times New Roman"/>
          <w:b/>
          <w:lang w:val="en-GB"/>
        </w:rPr>
        <w:t>R3-212973</w:t>
      </w:r>
      <w:r>
        <w:rPr>
          <w:rFonts w:ascii="Times New Roman" w:hAnsi="Times New Roman"/>
          <w:b/>
          <w:lang w:val="en-GB"/>
        </w:rPr>
        <w:t>, considering following issues in solution1:</w:t>
      </w:r>
    </w:p>
    <w:p w14:paraId="386039BC" w14:textId="77777777" w:rsidR="004660A4" w:rsidRPr="00F56E9B" w:rsidRDefault="004660A4" w:rsidP="004660A4">
      <w:pPr>
        <w:spacing w:after="0"/>
        <w:ind w:left="34"/>
        <w:rPr>
          <w:rFonts w:ascii="Times New Roman" w:hAnsi="Times New Roman"/>
          <w:b/>
          <w:szCs w:val="22"/>
          <w:lang w:val="en-GB" w:eastAsia="x-none"/>
        </w:rPr>
      </w:pPr>
      <w:r w:rsidRPr="00F56E9B">
        <w:rPr>
          <w:rFonts w:ascii="Times New Roman" w:hAnsi="Times New Roman"/>
          <w:b/>
          <w:szCs w:val="22"/>
          <w:lang w:val="en-GB" w:eastAsia="x-none"/>
        </w:rPr>
        <w:t>In case migrating IAB-MT’s HO fails</w:t>
      </w:r>
      <w:r w:rsidRPr="00F56E9B">
        <w:rPr>
          <w:rFonts w:ascii="Times New Roman" w:hAnsi="Times New Roman" w:hint="eastAsia"/>
          <w:b/>
          <w:szCs w:val="22"/>
          <w:lang w:val="en-GB" w:eastAsia="x-none"/>
        </w:rPr>
        <w:t>：</w:t>
      </w:r>
    </w:p>
    <w:p w14:paraId="5E93A04F" w14:textId="77777777" w:rsidR="004660A4" w:rsidRPr="00F462AC" w:rsidRDefault="004660A4" w:rsidP="004660A4">
      <w:pPr>
        <w:pStyle w:val="af8"/>
        <w:numPr>
          <w:ilvl w:val="0"/>
          <w:numId w:val="26"/>
        </w:numPr>
        <w:spacing w:beforeLines="50" w:before="120"/>
        <w:rPr>
          <w:rFonts w:ascii="Times New Roman" w:hAnsi="Times New Roman"/>
          <w:b/>
          <w:sz w:val="20"/>
          <w:lang w:val="en-GB"/>
        </w:rPr>
      </w:pPr>
      <w:r w:rsidRPr="00F462AC">
        <w:rPr>
          <w:rFonts w:ascii="Times New Roman" w:hAnsi="Times New Roman"/>
          <w:b/>
          <w:sz w:val="20"/>
          <w:lang w:val="en-GB"/>
        </w:rPr>
        <w:t xml:space="preserve">If migrating IAB-node still sends the buffered RRC reconfiguration message, it will </w:t>
      </w:r>
      <w:r>
        <w:rPr>
          <w:rFonts w:ascii="Times New Roman" w:hAnsi="Times New Roman"/>
          <w:b/>
          <w:sz w:val="20"/>
          <w:lang w:val="en-GB"/>
        </w:rPr>
        <w:t>make</w:t>
      </w:r>
      <w:r w:rsidRPr="00F462AC">
        <w:rPr>
          <w:rFonts w:ascii="Times New Roman" w:hAnsi="Times New Roman"/>
          <w:b/>
          <w:sz w:val="20"/>
          <w:lang w:val="en-GB"/>
        </w:rPr>
        <w:t xml:space="preserve"> child IAB node to trigger TNL migration</w:t>
      </w:r>
      <w:r>
        <w:rPr>
          <w:rFonts w:ascii="Times New Roman" w:hAnsi="Times New Roman"/>
          <w:b/>
          <w:sz w:val="20"/>
          <w:lang w:val="en-GB"/>
        </w:rPr>
        <w:t xml:space="preserve"> incorrectly</w:t>
      </w:r>
      <w:r w:rsidRPr="00F462AC">
        <w:rPr>
          <w:rFonts w:ascii="Times New Roman" w:hAnsi="Times New Roman"/>
          <w:b/>
          <w:sz w:val="20"/>
          <w:lang w:val="en-GB"/>
        </w:rPr>
        <w:t xml:space="preserve">. </w:t>
      </w:r>
    </w:p>
    <w:p w14:paraId="6079EDAF" w14:textId="77777777" w:rsidR="004660A4" w:rsidRPr="00F462AC" w:rsidRDefault="004660A4" w:rsidP="004660A4">
      <w:pPr>
        <w:pStyle w:val="af8"/>
        <w:numPr>
          <w:ilvl w:val="0"/>
          <w:numId w:val="26"/>
        </w:numPr>
        <w:spacing w:beforeLines="50" w:before="120"/>
        <w:rPr>
          <w:rFonts w:ascii="Times New Roman" w:hAnsi="Times New Roman"/>
          <w:b/>
          <w:sz w:val="20"/>
          <w:lang w:val="en-GB"/>
        </w:rPr>
      </w:pPr>
      <w:r w:rsidRPr="00F462AC">
        <w:rPr>
          <w:rFonts w:ascii="Times New Roman" w:hAnsi="Times New Roman"/>
          <w:b/>
          <w:sz w:val="20"/>
          <w:lang w:val="en-GB"/>
        </w:rPr>
        <w:t>Else if migrating IAB-node discards the buffered RRC reconfiguration message, it will cause the PDCP SN gap in PDCP layer and</w:t>
      </w:r>
      <w:r>
        <w:rPr>
          <w:rFonts w:ascii="Times New Roman" w:hAnsi="Times New Roman"/>
          <w:b/>
          <w:sz w:val="20"/>
          <w:lang w:val="en-GB"/>
        </w:rPr>
        <w:t xml:space="preserve"> the delivery of subsequent RRC messages may not be possible</w:t>
      </w:r>
      <w:r w:rsidRPr="00F462AC">
        <w:rPr>
          <w:rFonts w:ascii="Times New Roman" w:hAnsi="Times New Roman"/>
          <w:b/>
          <w:sz w:val="20"/>
          <w:lang w:val="en-GB"/>
        </w:rPr>
        <w:t>.</w:t>
      </w:r>
    </w:p>
    <w:p w14:paraId="40A03D7F" w14:textId="77777777" w:rsidR="004660A4" w:rsidRPr="00F56E9B" w:rsidRDefault="004660A4" w:rsidP="004660A4">
      <w:pPr>
        <w:spacing w:beforeLines="50" w:before="120"/>
        <w:ind w:left="34"/>
        <w:rPr>
          <w:rFonts w:ascii="Times New Roman" w:hAnsi="Times New Roman"/>
          <w:b/>
          <w:szCs w:val="22"/>
          <w:lang w:val="en-GB" w:eastAsia="x-none"/>
        </w:rPr>
      </w:pPr>
      <w:r w:rsidRPr="00F56E9B">
        <w:rPr>
          <w:rFonts w:ascii="Times New Roman" w:hAnsi="Times New Roman"/>
          <w:b/>
          <w:szCs w:val="22"/>
          <w:lang w:val="en-GB" w:eastAsia="x-none"/>
        </w:rPr>
        <w:t>In case CU sends a new RRCReconfiguration message to the child node after the buffered RRCReconfiguration message:</w:t>
      </w:r>
    </w:p>
    <w:p w14:paraId="5E6412B1" w14:textId="77777777" w:rsidR="004660A4" w:rsidRPr="00F56E9B" w:rsidRDefault="004660A4" w:rsidP="004660A4">
      <w:pPr>
        <w:pStyle w:val="af8"/>
        <w:numPr>
          <w:ilvl w:val="0"/>
          <w:numId w:val="26"/>
        </w:numPr>
        <w:spacing w:beforeLines="50" w:before="120"/>
        <w:rPr>
          <w:rFonts w:ascii="Times New Roman" w:hAnsi="Times New Roman"/>
          <w:b/>
          <w:sz w:val="20"/>
          <w:lang w:val="en-GB"/>
        </w:rPr>
      </w:pPr>
      <w:r w:rsidRPr="004660A4">
        <w:rPr>
          <w:rFonts w:ascii="Times New Roman" w:hAnsi="Times New Roman"/>
          <w:b/>
          <w:sz w:val="20"/>
          <w:lang w:val="en-GB"/>
        </w:rPr>
        <w:t>the new RRCReconfiguration message will be delivered to the child IAB-MT’s RRC layer once its PDCP reorder timer expires, while the previous RRCReconfiguration message is still buffered at parent node. There will be RRC configuration mismatch between child IAB-MT and CU, due to the missing of the buffered RRCReconfiguratio</w:t>
      </w:r>
      <w:r>
        <w:rPr>
          <w:rFonts w:ascii="Times New Roman" w:hAnsi="Times New Roman"/>
          <w:b/>
          <w:sz w:val="20"/>
          <w:lang w:val="en-GB"/>
        </w:rPr>
        <w:t>n message</w:t>
      </w:r>
      <w:r w:rsidRPr="00F56E9B">
        <w:rPr>
          <w:rFonts w:ascii="Times New Roman" w:hAnsi="Times New Roman"/>
          <w:b/>
          <w:sz w:val="20"/>
          <w:lang w:val="en-GB"/>
        </w:rPr>
        <w:t>.</w:t>
      </w:r>
    </w:p>
    <w:p w14:paraId="66C14B32" w14:textId="5E0E04B5" w:rsidR="003D3A04" w:rsidRPr="004660A4" w:rsidRDefault="003D3A04" w:rsidP="000152F2">
      <w:pPr>
        <w:spacing w:beforeLines="50" w:before="120"/>
        <w:ind w:left="34"/>
        <w:rPr>
          <w:rFonts w:ascii="Times New Roman" w:hAnsi="Times New Roman"/>
          <w:b/>
          <w:lang w:val="en-GB"/>
        </w:rPr>
      </w:pPr>
    </w:p>
    <w:bookmarkEnd w:id="0"/>
    <w:bookmarkEnd w:id="1"/>
    <w:p w14:paraId="206EAB16" w14:textId="77777777" w:rsidR="004E5E9C" w:rsidRPr="00725C2B" w:rsidRDefault="004E5E9C" w:rsidP="004E5E9C">
      <w:pPr>
        <w:pStyle w:val="1"/>
        <w:rPr>
          <w:rFonts w:eastAsia="宋体"/>
          <w:lang w:val="en-US"/>
        </w:rPr>
      </w:pPr>
      <w:r w:rsidRPr="00725C2B">
        <w:rPr>
          <w:rFonts w:eastAsia="宋体"/>
          <w:lang w:val="en-US"/>
        </w:rPr>
        <w:t>Reference</w:t>
      </w:r>
    </w:p>
    <w:p w14:paraId="50A63060" w14:textId="35AD4B42" w:rsidR="008C7599" w:rsidRPr="008C7599" w:rsidRDefault="00685C3F" w:rsidP="00805148">
      <w:pPr>
        <w:pStyle w:val="af8"/>
        <w:numPr>
          <w:ilvl w:val="0"/>
          <w:numId w:val="15"/>
        </w:numPr>
        <w:overflowPunct w:val="0"/>
        <w:autoSpaceDE w:val="0"/>
        <w:autoSpaceDN w:val="0"/>
        <w:adjustRightInd w:val="0"/>
        <w:spacing w:after="180"/>
        <w:textAlignment w:val="baseline"/>
        <w:rPr>
          <w:rFonts w:ascii="Times New Roman" w:hAnsi="Times New Roman"/>
          <w:sz w:val="20"/>
          <w:szCs w:val="20"/>
          <w:lang w:eastAsia="zh-CN"/>
        </w:rPr>
      </w:pPr>
      <w:bookmarkStart w:id="17" w:name="_Ref77606618"/>
      <w:bookmarkStart w:id="18" w:name="_Ref70243667"/>
      <w:bookmarkStart w:id="19" w:name="_Ref46252646"/>
      <w:bookmarkStart w:id="20" w:name="_Ref45705004"/>
      <w:bookmarkStart w:id="21" w:name="_Ref45529722"/>
      <w:bookmarkStart w:id="22" w:name="_Ref53219703"/>
      <w:bookmarkStart w:id="23" w:name="_Ref67730584"/>
      <w:r w:rsidRPr="00685C3F">
        <w:rPr>
          <w:rFonts w:ascii="Times New Roman" w:hAnsi="Times New Roman"/>
          <w:sz w:val="20"/>
          <w:lang w:eastAsia="zh-CN"/>
        </w:rPr>
        <w:t>R3-212981</w:t>
      </w:r>
      <w:r w:rsidR="008C7599" w:rsidRPr="004E0EFD">
        <w:rPr>
          <w:rFonts w:ascii="Times New Roman" w:hAnsi="Times New Roman"/>
          <w:sz w:val="20"/>
          <w:lang w:eastAsia="zh-CN"/>
        </w:rPr>
        <w:t>.</w:t>
      </w:r>
      <w:bookmarkEnd w:id="17"/>
      <w:r w:rsidR="004E0EFD" w:rsidRPr="004E0EFD">
        <w:rPr>
          <w:rFonts w:ascii="Times New Roman" w:hAnsi="Times New Roman"/>
          <w:sz w:val="20"/>
          <w:lang w:eastAsia="zh-CN"/>
        </w:rPr>
        <w:t xml:space="preserve"> LS on Inter-donor migration</w:t>
      </w:r>
      <w:r w:rsidR="004E0EFD">
        <w:rPr>
          <w:rFonts w:ascii="Times New Roman" w:hAnsi="Times New Roman"/>
          <w:sz w:val="20"/>
          <w:lang w:eastAsia="zh-CN"/>
        </w:rPr>
        <w:t>.</w:t>
      </w:r>
    </w:p>
    <w:p w14:paraId="129AB45C" w14:textId="091DB518" w:rsidR="004814C3" w:rsidRDefault="00685C3F" w:rsidP="00805148">
      <w:pPr>
        <w:pStyle w:val="af8"/>
        <w:numPr>
          <w:ilvl w:val="0"/>
          <w:numId w:val="15"/>
        </w:numPr>
        <w:overflowPunct w:val="0"/>
        <w:autoSpaceDE w:val="0"/>
        <w:autoSpaceDN w:val="0"/>
        <w:adjustRightInd w:val="0"/>
        <w:spacing w:after="180"/>
        <w:textAlignment w:val="baseline"/>
        <w:rPr>
          <w:rFonts w:ascii="Times New Roman" w:hAnsi="Times New Roman"/>
          <w:sz w:val="20"/>
          <w:lang w:eastAsia="zh-CN"/>
        </w:rPr>
      </w:pPr>
      <w:bookmarkStart w:id="24" w:name="_Ref77790869"/>
      <w:bookmarkEnd w:id="18"/>
      <w:bookmarkEnd w:id="19"/>
      <w:bookmarkEnd w:id="20"/>
      <w:bookmarkEnd w:id="21"/>
      <w:bookmarkEnd w:id="22"/>
      <w:bookmarkEnd w:id="23"/>
      <w:r w:rsidRPr="00685C3F">
        <w:rPr>
          <w:rFonts w:ascii="Times New Roman" w:hAnsi="Times New Roman"/>
          <w:sz w:val="20"/>
          <w:lang w:eastAsia="zh-CN"/>
        </w:rPr>
        <w:t>R3-212973</w:t>
      </w:r>
      <w:r w:rsidR="003E54A1" w:rsidRPr="0075495B">
        <w:rPr>
          <w:rFonts w:ascii="Times New Roman" w:hAnsi="Times New Roman"/>
          <w:sz w:val="20"/>
          <w:lang w:eastAsia="zh-CN"/>
        </w:rPr>
        <w:t>,</w:t>
      </w:r>
      <w:bookmarkEnd w:id="24"/>
      <w:r w:rsidR="006415F1" w:rsidRPr="006415F1">
        <w:rPr>
          <w:rFonts w:ascii="Arial" w:hAnsi="Arial" w:cs="Arial"/>
          <w:bCs/>
        </w:rPr>
        <w:t xml:space="preserve"> </w:t>
      </w:r>
      <w:r w:rsidR="006415F1" w:rsidRPr="006415F1">
        <w:rPr>
          <w:rFonts w:ascii="Times New Roman" w:hAnsi="Times New Roman"/>
          <w:sz w:val="20"/>
          <w:lang w:eastAsia="zh-CN"/>
        </w:rPr>
        <w:t>LS to RAN2 on reduction of service interruption during intra-donor IAB-node migration</w:t>
      </w:r>
      <w:r w:rsidR="006415F1">
        <w:rPr>
          <w:rFonts w:ascii="Times New Roman" w:hAnsi="Times New Roman" w:hint="eastAsia"/>
          <w:sz w:val="20"/>
          <w:lang w:eastAsia="zh-CN"/>
        </w:rPr>
        <w:t>.</w:t>
      </w:r>
    </w:p>
    <w:p w14:paraId="7970FB92" w14:textId="60FECBBA" w:rsidR="00D1726A" w:rsidRPr="00EB0084" w:rsidRDefault="00D1726A" w:rsidP="00D1726A">
      <w:pPr>
        <w:pStyle w:val="af8"/>
        <w:numPr>
          <w:ilvl w:val="0"/>
          <w:numId w:val="15"/>
        </w:numPr>
        <w:overflowPunct w:val="0"/>
        <w:autoSpaceDE w:val="0"/>
        <w:autoSpaceDN w:val="0"/>
        <w:adjustRightInd w:val="0"/>
        <w:spacing w:after="180"/>
        <w:textAlignment w:val="baseline"/>
        <w:rPr>
          <w:rFonts w:ascii="Times New Roman" w:hAnsi="Times New Roman"/>
          <w:sz w:val="20"/>
          <w:lang w:eastAsia="zh-CN"/>
        </w:rPr>
      </w:pPr>
      <w:bookmarkStart w:id="25" w:name="_Ref78314461"/>
      <w:r>
        <w:rPr>
          <w:rFonts w:ascii="Times New Roman" w:hAnsi="Times New Roman"/>
          <w:sz w:val="20"/>
          <w:lang w:eastAsia="zh-CN"/>
        </w:rPr>
        <w:t xml:space="preserve">TS 38.340, v136.5.0, </w:t>
      </w:r>
      <w:r w:rsidRPr="00D1726A">
        <w:rPr>
          <w:rFonts w:ascii="Times New Roman" w:hAnsi="Times New Roman"/>
          <w:sz w:val="20"/>
          <w:lang w:eastAsia="zh-CN"/>
        </w:rPr>
        <w:t>Backhaul Adaptation Protocol (BAP) specification</w:t>
      </w:r>
      <w:r>
        <w:rPr>
          <w:rFonts w:ascii="Times New Roman" w:hAnsi="Times New Roman"/>
          <w:sz w:val="20"/>
          <w:lang w:eastAsia="zh-CN"/>
        </w:rPr>
        <w:t>, 2021-06.</w:t>
      </w:r>
      <w:bookmarkEnd w:id="25"/>
    </w:p>
    <w:sectPr w:rsidR="00D1726A" w:rsidRPr="00EB0084"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BEAD5" w14:textId="77777777" w:rsidR="00465C4A" w:rsidRDefault="00465C4A" w:rsidP="00796430">
      <w:r>
        <w:separator/>
      </w:r>
    </w:p>
  </w:endnote>
  <w:endnote w:type="continuationSeparator" w:id="0">
    <w:p w14:paraId="674262E6" w14:textId="77777777" w:rsidR="00465C4A" w:rsidRDefault="00465C4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F3DBE" w14:textId="77777777" w:rsidR="00AC421A" w:rsidRDefault="00AC421A">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F75CA">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F75CA">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389DF" w14:textId="77777777" w:rsidR="00465C4A" w:rsidRDefault="00465C4A" w:rsidP="00796430">
      <w:r>
        <w:separator/>
      </w:r>
    </w:p>
  </w:footnote>
  <w:footnote w:type="continuationSeparator" w:id="0">
    <w:p w14:paraId="128F2462" w14:textId="77777777" w:rsidR="00465C4A" w:rsidRDefault="00465C4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39BCC" w14:textId="77777777" w:rsidR="00AC421A" w:rsidRDefault="00AC421A"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F75FAA"/>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5CE4420"/>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FF607B"/>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9973F3"/>
    <w:multiLevelType w:val="hybridMultilevel"/>
    <w:tmpl w:val="1A86C738"/>
    <w:lvl w:ilvl="0" w:tplc="2CF0389E">
      <w:start w:val="1"/>
      <w:numFmt w:val="decimal"/>
      <w:lvlText w:val="%1."/>
      <w:lvlJc w:val="left"/>
      <w:pPr>
        <w:ind w:left="360" w:hanging="360"/>
      </w:pPr>
      <w:rPr>
        <w:rFonts w:hint="default"/>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12741"/>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8"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AD5AE8"/>
    <w:multiLevelType w:val="hybridMultilevel"/>
    <w:tmpl w:val="6D3613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252481"/>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3AB6728"/>
    <w:multiLevelType w:val="hybridMultilevel"/>
    <w:tmpl w:val="5D68D78C"/>
    <w:lvl w:ilvl="0" w:tplc="CD70E190">
      <w:numFmt w:val="bullet"/>
      <w:lvlText w:val="-"/>
      <w:lvlJc w:val="left"/>
      <w:pPr>
        <w:ind w:left="454" w:hanging="42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14" w15:restartNumberingAfterBreak="0">
    <w:nsid w:val="352E6CCF"/>
    <w:multiLevelType w:val="hybridMultilevel"/>
    <w:tmpl w:val="1A86C738"/>
    <w:lvl w:ilvl="0" w:tplc="2CF0389E">
      <w:start w:val="1"/>
      <w:numFmt w:val="decimal"/>
      <w:lvlText w:val="%1."/>
      <w:lvlJc w:val="left"/>
      <w:pPr>
        <w:ind w:left="360" w:hanging="360"/>
      </w:pPr>
      <w:rPr>
        <w:rFonts w:hint="default"/>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654713"/>
    <w:multiLevelType w:val="hybridMultilevel"/>
    <w:tmpl w:val="1A86C738"/>
    <w:lvl w:ilvl="0" w:tplc="2CF0389E">
      <w:start w:val="1"/>
      <w:numFmt w:val="decimal"/>
      <w:lvlText w:val="%1."/>
      <w:lvlJc w:val="left"/>
      <w:pPr>
        <w:ind w:left="360" w:hanging="360"/>
      </w:pPr>
      <w:rPr>
        <w:rFonts w:hint="default"/>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9290F"/>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DC50E9"/>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43734498"/>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B0453A"/>
    <w:multiLevelType w:val="multilevel"/>
    <w:tmpl w:val="281E86BE"/>
    <w:numStyleLink w:val="Recommendation"/>
  </w:abstractNum>
  <w:abstractNum w:abstractNumId="21" w15:restartNumberingAfterBreak="0">
    <w:nsid w:val="4A387C3E"/>
    <w:multiLevelType w:val="hybridMultilevel"/>
    <w:tmpl w:val="279E1EE0"/>
    <w:lvl w:ilvl="0" w:tplc="BE68354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81271B1"/>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A1C7511"/>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0" w15:restartNumberingAfterBreak="0">
    <w:nsid w:val="70BA691C"/>
    <w:multiLevelType w:val="hybridMultilevel"/>
    <w:tmpl w:val="2DA69CF8"/>
    <w:lvl w:ilvl="0" w:tplc="C972A6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DE55C4"/>
    <w:multiLevelType w:val="hybridMultilevel"/>
    <w:tmpl w:val="896A0DF6"/>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7EA134CF"/>
    <w:multiLevelType w:val="hybridMultilevel"/>
    <w:tmpl w:val="C04E1A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2"/>
  </w:num>
  <w:num w:numId="3">
    <w:abstractNumId w:val="18"/>
  </w:num>
  <w:num w:numId="4">
    <w:abstractNumId w:val="10"/>
  </w:num>
  <w:num w:numId="5">
    <w:abstractNumId w:val="25"/>
  </w:num>
  <w:num w:numId="6">
    <w:abstractNumId w:val="12"/>
  </w:num>
  <w:num w:numId="7">
    <w:abstractNumId w:val="3"/>
  </w:num>
  <w:num w:numId="8">
    <w:abstractNumId w:val="23"/>
  </w:num>
  <w:num w:numId="9">
    <w:abstractNumId w:val="24"/>
    <w:lvlOverride w:ilvl="0">
      <w:startOverride w:val="1"/>
    </w:lvlOverride>
  </w:num>
  <w:num w:numId="10">
    <w:abstractNumId w:val="2"/>
  </w:num>
  <w:num w:numId="11">
    <w:abstractNumId w:val="20"/>
  </w:num>
  <w:num w:numId="12">
    <w:abstractNumId w:val="33"/>
  </w:num>
  <w:num w:numId="13">
    <w:abstractNumId w:val="8"/>
  </w:num>
  <w:num w:numId="14">
    <w:abstractNumId w:val="29"/>
  </w:num>
  <w:num w:numId="15">
    <w:abstractNumId w:val="32"/>
  </w:num>
  <w:num w:numId="16">
    <w:abstractNumId w:val="31"/>
  </w:num>
  <w:num w:numId="17">
    <w:abstractNumId w:val="7"/>
  </w:num>
  <w:num w:numId="18">
    <w:abstractNumId w:val="17"/>
  </w:num>
  <w:num w:numId="19">
    <w:abstractNumId w:val="27"/>
  </w:num>
  <w:num w:numId="20">
    <w:abstractNumId w:val="21"/>
  </w:num>
  <w:num w:numId="21">
    <w:abstractNumId w:val="15"/>
  </w:num>
  <w:num w:numId="22">
    <w:abstractNumId w:val="26"/>
  </w:num>
  <w:num w:numId="23">
    <w:abstractNumId w:val="16"/>
  </w:num>
  <w:num w:numId="24">
    <w:abstractNumId w:val="9"/>
  </w:num>
  <w:num w:numId="25">
    <w:abstractNumId w:val="30"/>
  </w:num>
  <w:num w:numId="26">
    <w:abstractNumId w:val="13"/>
  </w:num>
  <w:num w:numId="27">
    <w:abstractNumId w:val="34"/>
  </w:num>
  <w:num w:numId="28">
    <w:abstractNumId w:val="14"/>
  </w:num>
  <w:num w:numId="29">
    <w:abstractNumId w:val="4"/>
  </w:num>
  <w:num w:numId="30">
    <w:abstractNumId w:val="5"/>
  </w:num>
  <w:num w:numId="31">
    <w:abstractNumId w:val="19"/>
  </w:num>
  <w:num w:numId="32">
    <w:abstractNumId w:val="6"/>
  </w:num>
  <w:num w:numId="33">
    <w:abstractNumId w:val="11"/>
  </w:num>
  <w:num w:numId="34">
    <w:abstractNumId w:val="1"/>
  </w:num>
  <w:num w:numId="35">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344"/>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2F2"/>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112"/>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0BA8"/>
    <w:rsid w:val="00050D00"/>
    <w:rsid w:val="0005129D"/>
    <w:rsid w:val="00051423"/>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BA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3F95"/>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67FC4"/>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A1C"/>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7F5"/>
    <w:rsid w:val="00077891"/>
    <w:rsid w:val="000779B6"/>
    <w:rsid w:val="00077D6D"/>
    <w:rsid w:val="000800F2"/>
    <w:rsid w:val="0008032D"/>
    <w:rsid w:val="00080387"/>
    <w:rsid w:val="00080BCB"/>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D88"/>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421"/>
    <w:rsid w:val="0009675C"/>
    <w:rsid w:val="000967FC"/>
    <w:rsid w:val="00096B87"/>
    <w:rsid w:val="00096C34"/>
    <w:rsid w:val="00097488"/>
    <w:rsid w:val="0009768E"/>
    <w:rsid w:val="000979B8"/>
    <w:rsid w:val="000A022F"/>
    <w:rsid w:val="000A0515"/>
    <w:rsid w:val="000A0BAE"/>
    <w:rsid w:val="000A0D0D"/>
    <w:rsid w:val="000A100B"/>
    <w:rsid w:val="000A146E"/>
    <w:rsid w:val="000A1705"/>
    <w:rsid w:val="000A1768"/>
    <w:rsid w:val="000A1897"/>
    <w:rsid w:val="000A1AB0"/>
    <w:rsid w:val="000A1CE1"/>
    <w:rsid w:val="000A1E21"/>
    <w:rsid w:val="000A1EDB"/>
    <w:rsid w:val="000A28FA"/>
    <w:rsid w:val="000A2ACA"/>
    <w:rsid w:val="000A2B8F"/>
    <w:rsid w:val="000A31C7"/>
    <w:rsid w:val="000A31FB"/>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3EE"/>
    <w:rsid w:val="000A645B"/>
    <w:rsid w:val="000A698B"/>
    <w:rsid w:val="000A6D84"/>
    <w:rsid w:val="000A70B8"/>
    <w:rsid w:val="000A70C4"/>
    <w:rsid w:val="000A70DD"/>
    <w:rsid w:val="000A7315"/>
    <w:rsid w:val="000A7329"/>
    <w:rsid w:val="000A78E9"/>
    <w:rsid w:val="000A7A2B"/>
    <w:rsid w:val="000A7B80"/>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59AD"/>
    <w:rsid w:val="000B60A1"/>
    <w:rsid w:val="000B60F5"/>
    <w:rsid w:val="000B626F"/>
    <w:rsid w:val="000B65F3"/>
    <w:rsid w:val="000B690C"/>
    <w:rsid w:val="000B693E"/>
    <w:rsid w:val="000B7556"/>
    <w:rsid w:val="000B75CB"/>
    <w:rsid w:val="000B76C1"/>
    <w:rsid w:val="000C0055"/>
    <w:rsid w:val="000C0223"/>
    <w:rsid w:val="000C04C9"/>
    <w:rsid w:val="000C0932"/>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5D"/>
    <w:rsid w:val="000C54FC"/>
    <w:rsid w:val="000C5749"/>
    <w:rsid w:val="000C5F19"/>
    <w:rsid w:val="000C6C10"/>
    <w:rsid w:val="000C76BB"/>
    <w:rsid w:val="000C79F9"/>
    <w:rsid w:val="000C7C03"/>
    <w:rsid w:val="000C7F57"/>
    <w:rsid w:val="000D010B"/>
    <w:rsid w:val="000D0386"/>
    <w:rsid w:val="000D0B7B"/>
    <w:rsid w:val="000D0D23"/>
    <w:rsid w:val="000D0E0A"/>
    <w:rsid w:val="000D1807"/>
    <w:rsid w:val="000D1AB5"/>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0A6D"/>
    <w:rsid w:val="000E15A4"/>
    <w:rsid w:val="000E15FD"/>
    <w:rsid w:val="000E1693"/>
    <w:rsid w:val="000E16D2"/>
    <w:rsid w:val="000E17EB"/>
    <w:rsid w:val="000E186C"/>
    <w:rsid w:val="000E209D"/>
    <w:rsid w:val="000E21D1"/>
    <w:rsid w:val="000E22DD"/>
    <w:rsid w:val="000E231E"/>
    <w:rsid w:val="000E36E5"/>
    <w:rsid w:val="000E37F0"/>
    <w:rsid w:val="000E38D1"/>
    <w:rsid w:val="000E3980"/>
    <w:rsid w:val="000E3B36"/>
    <w:rsid w:val="000E3EB4"/>
    <w:rsid w:val="000E3EF1"/>
    <w:rsid w:val="000E41F0"/>
    <w:rsid w:val="000E46AF"/>
    <w:rsid w:val="000E4862"/>
    <w:rsid w:val="000E4E90"/>
    <w:rsid w:val="000E50A6"/>
    <w:rsid w:val="000E5151"/>
    <w:rsid w:val="000E572A"/>
    <w:rsid w:val="000E5854"/>
    <w:rsid w:val="000E5FE6"/>
    <w:rsid w:val="000E62BE"/>
    <w:rsid w:val="000E6687"/>
    <w:rsid w:val="000E6FC4"/>
    <w:rsid w:val="000E767F"/>
    <w:rsid w:val="000E77B4"/>
    <w:rsid w:val="000E77F9"/>
    <w:rsid w:val="000F0028"/>
    <w:rsid w:val="000F092E"/>
    <w:rsid w:val="000F0A36"/>
    <w:rsid w:val="000F12C9"/>
    <w:rsid w:val="000F1477"/>
    <w:rsid w:val="000F1638"/>
    <w:rsid w:val="000F198F"/>
    <w:rsid w:val="000F2180"/>
    <w:rsid w:val="000F21C3"/>
    <w:rsid w:val="000F24BF"/>
    <w:rsid w:val="000F25F5"/>
    <w:rsid w:val="000F3232"/>
    <w:rsid w:val="000F325B"/>
    <w:rsid w:val="000F3274"/>
    <w:rsid w:val="000F343A"/>
    <w:rsid w:val="000F38C7"/>
    <w:rsid w:val="000F3C5C"/>
    <w:rsid w:val="000F3FA1"/>
    <w:rsid w:val="000F403B"/>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555"/>
    <w:rsid w:val="00103718"/>
    <w:rsid w:val="001038B9"/>
    <w:rsid w:val="00103A46"/>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E4F"/>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39"/>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19A"/>
    <w:rsid w:val="0012121F"/>
    <w:rsid w:val="00121417"/>
    <w:rsid w:val="001219AD"/>
    <w:rsid w:val="00121BC7"/>
    <w:rsid w:val="00121F15"/>
    <w:rsid w:val="00121FE2"/>
    <w:rsid w:val="001221F6"/>
    <w:rsid w:val="001222E9"/>
    <w:rsid w:val="0012265D"/>
    <w:rsid w:val="00122765"/>
    <w:rsid w:val="00122940"/>
    <w:rsid w:val="00122A1E"/>
    <w:rsid w:val="00122B54"/>
    <w:rsid w:val="00122F03"/>
    <w:rsid w:val="001239D3"/>
    <w:rsid w:val="00123B50"/>
    <w:rsid w:val="00123D21"/>
    <w:rsid w:val="00123F4E"/>
    <w:rsid w:val="00123FCC"/>
    <w:rsid w:val="00124387"/>
    <w:rsid w:val="00124649"/>
    <w:rsid w:val="0012483B"/>
    <w:rsid w:val="00124A0A"/>
    <w:rsid w:val="00124AEF"/>
    <w:rsid w:val="00124D6E"/>
    <w:rsid w:val="00124E86"/>
    <w:rsid w:val="00124FBD"/>
    <w:rsid w:val="001251DB"/>
    <w:rsid w:val="001251EC"/>
    <w:rsid w:val="0012532A"/>
    <w:rsid w:val="001253AB"/>
    <w:rsid w:val="001254C2"/>
    <w:rsid w:val="001255D6"/>
    <w:rsid w:val="001256B3"/>
    <w:rsid w:val="00125A02"/>
    <w:rsid w:val="00125EE2"/>
    <w:rsid w:val="00125FBA"/>
    <w:rsid w:val="00126143"/>
    <w:rsid w:val="00126692"/>
    <w:rsid w:val="00126AE3"/>
    <w:rsid w:val="00126EEC"/>
    <w:rsid w:val="001270A5"/>
    <w:rsid w:val="00127592"/>
    <w:rsid w:val="0012774C"/>
    <w:rsid w:val="00127BFE"/>
    <w:rsid w:val="00127CCC"/>
    <w:rsid w:val="00127F3B"/>
    <w:rsid w:val="00130016"/>
    <w:rsid w:val="001300C0"/>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5454"/>
    <w:rsid w:val="0013618E"/>
    <w:rsid w:val="001364F2"/>
    <w:rsid w:val="001369F8"/>
    <w:rsid w:val="001378A4"/>
    <w:rsid w:val="00137972"/>
    <w:rsid w:val="00137E34"/>
    <w:rsid w:val="00140002"/>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4A4F"/>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614"/>
    <w:rsid w:val="00165992"/>
    <w:rsid w:val="001659D6"/>
    <w:rsid w:val="00165AAC"/>
    <w:rsid w:val="00165ADD"/>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74"/>
    <w:rsid w:val="00182CBD"/>
    <w:rsid w:val="001837CF"/>
    <w:rsid w:val="001839D7"/>
    <w:rsid w:val="00183A05"/>
    <w:rsid w:val="0018472F"/>
    <w:rsid w:val="001848D6"/>
    <w:rsid w:val="00184D9C"/>
    <w:rsid w:val="00184F83"/>
    <w:rsid w:val="001855EC"/>
    <w:rsid w:val="00185658"/>
    <w:rsid w:val="0018574F"/>
    <w:rsid w:val="00185A07"/>
    <w:rsid w:val="00185FF8"/>
    <w:rsid w:val="00186070"/>
    <w:rsid w:val="001861BE"/>
    <w:rsid w:val="00186385"/>
    <w:rsid w:val="00186D3D"/>
    <w:rsid w:val="00186E53"/>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585"/>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97BF8"/>
    <w:rsid w:val="001A011D"/>
    <w:rsid w:val="001A02D3"/>
    <w:rsid w:val="001A040E"/>
    <w:rsid w:val="001A055D"/>
    <w:rsid w:val="001A060A"/>
    <w:rsid w:val="001A062B"/>
    <w:rsid w:val="001A0C45"/>
    <w:rsid w:val="001A0E16"/>
    <w:rsid w:val="001A1011"/>
    <w:rsid w:val="001A1591"/>
    <w:rsid w:val="001A16B5"/>
    <w:rsid w:val="001A19BE"/>
    <w:rsid w:val="001A1DAD"/>
    <w:rsid w:val="001A1E29"/>
    <w:rsid w:val="001A1EAC"/>
    <w:rsid w:val="001A2237"/>
    <w:rsid w:val="001A235B"/>
    <w:rsid w:val="001A2B55"/>
    <w:rsid w:val="001A2C9B"/>
    <w:rsid w:val="001A2D83"/>
    <w:rsid w:val="001A38FB"/>
    <w:rsid w:val="001A3B5B"/>
    <w:rsid w:val="001A3DAF"/>
    <w:rsid w:val="001A3E86"/>
    <w:rsid w:val="001A3EE9"/>
    <w:rsid w:val="001A3F67"/>
    <w:rsid w:val="001A4167"/>
    <w:rsid w:val="001A4368"/>
    <w:rsid w:val="001A4F52"/>
    <w:rsid w:val="001A51B0"/>
    <w:rsid w:val="001A55BA"/>
    <w:rsid w:val="001A5D4E"/>
    <w:rsid w:val="001A5FED"/>
    <w:rsid w:val="001A6416"/>
    <w:rsid w:val="001A6549"/>
    <w:rsid w:val="001A67E0"/>
    <w:rsid w:val="001A6829"/>
    <w:rsid w:val="001A6990"/>
    <w:rsid w:val="001A6AA7"/>
    <w:rsid w:val="001A6ABD"/>
    <w:rsid w:val="001A6C5F"/>
    <w:rsid w:val="001A7456"/>
    <w:rsid w:val="001A7886"/>
    <w:rsid w:val="001A7B00"/>
    <w:rsid w:val="001A7B6A"/>
    <w:rsid w:val="001B06B5"/>
    <w:rsid w:val="001B092E"/>
    <w:rsid w:val="001B0DBB"/>
    <w:rsid w:val="001B0E92"/>
    <w:rsid w:val="001B1553"/>
    <w:rsid w:val="001B15A1"/>
    <w:rsid w:val="001B192E"/>
    <w:rsid w:val="001B1C62"/>
    <w:rsid w:val="001B204F"/>
    <w:rsid w:val="001B20DB"/>
    <w:rsid w:val="001B25EF"/>
    <w:rsid w:val="001B2FAF"/>
    <w:rsid w:val="001B306F"/>
    <w:rsid w:val="001B32BF"/>
    <w:rsid w:val="001B362E"/>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5817"/>
    <w:rsid w:val="001C5930"/>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0F0"/>
    <w:rsid w:val="001D23AA"/>
    <w:rsid w:val="001D243D"/>
    <w:rsid w:val="001D288D"/>
    <w:rsid w:val="001D2F31"/>
    <w:rsid w:val="001D3164"/>
    <w:rsid w:val="001D3183"/>
    <w:rsid w:val="001D34D8"/>
    <w:rsid w:val="001D3AE4"/>
    <w:rsid w:val="001D3BDE"/>
    <w:rsid w:val="001D3CB8"/>
    <w:rsid w:val="001D42D0"/>
    <w:rsid w:val="001D4382"/>
    <w:rsid w:val="001D44C5"/>
    <w:rsid w:val="001D4504"/>
    <w:rsid w:val="001D46D9"/>
    <w:rsid w:val="001D4B0C"/>
    <w:rsid w:val="001D511F"/>
    <w:rsid w:val="001D5197"/>
    <w:rsid w:val="001D5477"/>
    <w:rsid w:val="001D5548"/>
    <w:rsid w:val="001D5559"/>
    <w:rsid w:val="001D5A45"/>
    <w:rsid w:val="001D667A"/>
    <w:rsid w:val="001D686D"/>
    <w:rsid w:val="001D6959"/>
    <w:rsid w:val="001D6C55"/>
    <w:rsid w:val="001D720F"/>
    <w:rsid w:val="001D7345"/>
    <w:rsid w:val="001D7629"/>
    <w:rsid w:val="001D771F"/>
    <w:rsid w:val="001D77E9"/>
    <w:rsid w:val="001D7FA1"/>
    <w:rsid w:val="001E0774"/>
    <w:rsid w:val="001E139E"/>
    <w:rsid w:val="001E16F7"/>
    <w:rsid w:val="001E17B0"/>
    <w:rsid w:val="001E18F6"/>
    <w:rsid w:val="001E1EC8"/>
    <w:rsid w:val="001E2472"/>
    <w:rsid w:val="001E25E0"/>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E7F3C"/>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7DA"/>
    <w:rsid w:val="001F4BC8"/>
    <w:rsid w:val="001F4ED2"/>
    <w:rsid w:val="001F52E7"/>
    <w:rsid w:val="001F56AF"/>
    <w:rsid w:val="001F5CF6"/>
    <w:rsid w:val="001F5D57"/>
    <w:rsid w:val="001F5E03"/>
    <w:rsid w:val="001F5EE7"/>
    <w:rsid w:val="001F6196"/>
    <w:rsid w:val="001F6214"/>
    <w:rsid w:val="001F645F"/>
    <w:rsid w:val="001F6551"/>
    <w:rsid w:val="001F65E0"/>
    <w:rsid w:val="001F6DC0"/>
    <w:rsid w:val="001F75AB"/>
    <w:rsid w:val="002001C2"/>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249"/>
    <w:rsid w:val="002054E9"/>
    <w:rsid w:val="00205636"/>
    <w:rsid w:val="0020569A"/>
    <w:rsid w:val="00205724"/>
    <w:rsid w:val="00205888"/>
    <w:rsid w:val="002059CA"/>
    <w:rsid w:val="00205B00"/>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2B7"/>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888"/>
    <w:rsid w:val="00215A32"/>
    <w:rsid w:val="00215B75"/>
    <w:rsid w:val="00215D48"/>
    <w:rsid w:val="00215E31"/>
    <w:rsid w:val="00215FEB"/>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3E3B"/>
    <w:rsid w:val="002242C6"/>
    <w:rsid w:val="00224718"/>
    <w:rsid w:val="00224EC1"/>
    <w:rsid w:val="0022526F"/>
    <w:rsid w:val="00225743"/>
    <w:rsid w:val="00225B6E"/>
    <w:rsid w:val="00225BA9"/>
    <w:rsid w:val="00225C07"/>
    <w:rsid w:val="0022604B"/>
    <w:rsid w:val="00226232"/>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6FAF"/>
    <w:rsid w:val="00237003"/>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4C2B"/>
    <w:rsid w:val="002451C1"/>
    <w:rsid w:val="0024521F"/>
    <w:rsid w:val="00245238"/>
    <w:rsid w:val="002456F9"/>
    <w:rsid w:val="00245886"/>
    <w:rsid w:val="00245B8D"/>
    <w:rsid w:val="00246301"/>
    <w:rsid w:val="002468AE"/>
    <w:rsid w:val="00247175"/>
    <w:rsid w:val="00247B22"/>
    <w:rsid w:val="00247BAD"/>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60B"/>
    <w:rsid w:val="00253784"/>
    <w:rsid w:val="00253B15"/>
    <w:rsid w:val="00253C66"/>
    <w:rsid w:val="00253D15"/>
    <w:rsid w:val="002540EE"/>
    <w:rsid w:val="00254A57"/>
    <w:rsid w:val="00254C95"/>
    <w:rsid w:val="00254D03"/>
    <w:rsid w:val="00254FD3"/>
    <w:rsid w:val="002550EB"/>
    <w:rsid w:val="00255616"/>
    <w:rsid w:val="002558C3"/>
    <w:rsid w:val="00256385"/>
    <w:rsid w:val="0025663F"/>
    <w:rsid w:val="00256DB6"/>
    <w:rsid w:val="00257225"/>
    <w:rsid w:val="00257307"/>
    <w:rsid w:val="00257533"/>
    <w:rsid w:val="00257B6C"/>
    <w:rsid w:val="002602B9"/>
    <w:rsid w:val="002603E0"/>
    <w:rsid w:val="002604BA"/>
    <w:rsid w:val="002605FC"/>
    <w:rsid w:val="002606DB"/>
    <w:rsid w:val="002608BD"/>
    <w:rsid w:val="00260914"/>
    <w:rsid w:val="00260B5F"/>
    <w:rsid w:val="00260C76"/>
    <w:rsid w:val="0026116D"/>
    <w:rsid w:val="00261268"/>
    <w:rsid w:val="00261726"/>
    <w:rsid w:val="00261D29"/>
    <w:rsid w:val="00261E94"/>
    <w:rsid w:val="00262072"/>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826"/>
    <w:rsid w:val="00266D1F"/>
    <w:rsid w:val="00266DC7"/>
    <w:rsid w:val="0026730A"/>
    <w:rsid w:val="0026738B"/>
    <w:rsid w:val="0026782E"/>
    <w:rsid w:val="0026783C"/>
    <w:rsid w:val="0027053A"/>
    <w:rsid w:val="00270AC7"/>
    <w:rsid w:val="00270EBB"/>
    <w:rsid w:val="00271658"/>
    <w:rsid w:val="002718EA"/>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4B7B"/>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565"/>
    <w:rsid w:val="00281D5B"/>
    <w:rsid w:val="00281EA1"/>
    <w:rsid w:val="00281F71"/>
    <w:rsid w:val="002822B2"/>
    <w:rsid w:val="002829BD"/>
    <w:rsid w:val="0028320B"/>
    <w:rsid w:val="002832E6"/>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9AB"/>
    <w:rsid w:val="00287B53"/>
    <w:rsid w:val="00287C05"/>
    <w:rsid w:val="00287D0D"/>
    <w:rsid w:val="00287E7B"/>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847"/>
    <w:rsid w:val="00296B25"/>
    <w:rsid w:val="00296D8E"/>
    <w:rsid w:val="00296E6F"/>
    <w:rsid w:val="00296F89"/>
    <w:rsid w:val="00297286"/>
    <w:rsid w:val="00297340"/>
    <w:rsid w:val="002976AA"/>
    <w:rsid w:val="00297749"/>
    <w:rsid w:val="00297847"/>
    <w:rsid w:val="00297A72"/>
    <w:rsid w:val="002A0319"/>
    <w:rsid w:val="002A0C31"/>
    <w:rsid w:val="002A0E71"/>
    <w:rsid w:val="002A15DB"/>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301"/>
    <w:rsid w:val="002A4628"/>
    <w:rsid w:val="002A4641"/>
    <w:rsid w:val="002A4712"/>
    <w:rsid w:val="002A475A"/>
    <w:rsid w:val="002A49D0"/>
    <w:rsid w:val="002A4D2C"/>
    <w:rsid w:val="002A6255"/>
    <w:rsid w:val="002A6459"/>
    <w:rsid w:val="002A6894"/>
    <w:rsid w:val="002A6D80"/>
    <w:rsid w:val="002A6D82"/>
    <w:rsid w:val="002A793B"/>
    <w:rsid w:val="002A7DA4"/>
    <w:rsid w:val="002B0757"/>
    <w:rsid w:val="002B09A1"/>
    <w:rsid w:val="002B0B42"/>
    <w:rsid w:val="002B0C4E"/>
    <w:rsid w:val="002B0F2F"/>
    <w:rsid w:val="002B1192"/>
    <w:rsid w:val="002B1282"/>
    <w:rsid w:val="002B16FA"/>
    <w:rsid w:val="002B1EA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B7E4A"/>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3E21"/>
    <w:rsid w:val="002C441F"/>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921"/>
    <w:rsid w:val="002D2932"/>
    <w:rsid w:val="002D2C69"/>
    <w:rsid w:val="002D2DC6"/>
    <w:rsid w:val="002D2FF9"/>
    <w:rsid w:val="002D31C8"/>
    <w:rsid w:val="002D3521"/>
    <w:rsid w:val="002D38A1"/>
    <w:rsid w:val="002D3A05"/>
    <w:rsid w:val="002D3B3B"/>
    <w:rsid w:val="002D3D2A"/>
    <w:rsid w:val="002D541C"/>
    <w:rsid w:val="002D557B"/>
    <w:rsid w:val="002D55B3"/>
    <w:rsid w:val="002D57B4"/>
    <w:rsid w:val="002D58DE"/>
    <w:rsid w:val="002D59C3"/>
    <w:rsid w:val="002D618D"/>
    <w:rsid w:val="002D61A3"/>
    <w:rsid w:val="002D6338"/>
    <w:rsid w:val="002D64C5"/>
    <w:rsid w:val="002D6C1F"/>
    <w:rsid w:val="002D6E72"/>
    <w:rsid w:val="002D73AB"/>
    <w:rsid w:val="002D75A9"/>
    <w:rsid w:val="002D7EB1"/>
    <w:rsid w:val="002E0661"/>
    <w:rsid w:val="002E08C4"/>
    <w:rsid w:val="002E0BA9"/>
    <w:rsid w:val="002E0F83"/>
    <w:rsid w:val="002E1112"/>
    <w:rsid w:val="002E1248"/>
    <w:rsid w:val="002E1493"/>
    <w:rsid w:val="002E15E7"/>
    <w:rsid w:val="002E16A8"/>
    <w:rsid w:val="002E193F"/>
    <w:rsid w:val="002E1AFF"/>
    <w:rsid w:val="002E1F5D"/>
    <w:rsid w:val="002E2036"/>
    <w:rsid w:val="002E2196"/>
    <w:rsid w:val="002E2241"/>
    <w:rsid w:val="002E22EC"/>
    <w:rsid w:val="002E257A"/>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DB"/>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2813"/>
    <w:rsid w:val="002F3008"/>
    <w:rsid w:val="002F3294"/>
    <w:rsid w:val="002F34AB"/>
    <w:rsid w:val="002F370C"/>
    <w:rsid w:val="002F406A"/>
    <w:rsid w:val="002F4506"/>
    <w:rsid w:val="002F4578"/>
    <w:rsid w:val="002F4632"/>
    <w:rsid w:val="002F47BF"/>
    <w:rsid w:val="002F5891"/>
    <w:rsid w:val="002F6B3F"/>
    <w:rsid w:val="002F6F19"/>
    <w:rsid w:val="002F7256"/>
    <w:rsid w:val="002F75C3"/>
    <w:rsid w:val="002F7606"/>
    <w:rsid w:val="002F7A57"/>
    <w:rsid w:val="002F7AE3"/>
    <w:rsid w:val="002F7CD1"/>
    <w:rsid w:val="002F7DA9"/>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61B"/>
    <w:rsid w:val="0030775C"/>
    <w:rsid w:val="0030787F"/>
    <w:rsid w:val="00307987"/>
    <w:rsid w:val="00307B6B"/>
    <w:rsid w:val="00307C2F"/>
    <w:rsid w:val="003101CE"/>
    <w:rsid w:val="003105D5"/>
    <w:rsid w:val="00310AC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0EF"/>
    <w:rsid w:val="00314286"/>
    <w:rsid w:val="00314481"/>
    <w:rsid w:val="00314A30"/>
    <w:rsid w:val="00314C2F"/>
    <w:rsid w:val="00314CF5"/>
    <w:rsid w:val="00314E0B"/>
    <w:rsid w:val="00314E95"/>
    <w:rsid w:val="0031510B"/>
    <w:rsid w:val="00315435"/>
    <w:rsid w:val="00315C04"/>
    <w:rsid w:val="00315DF9"/>
    <w:rsid w:val="00315E60"/>
    <w:rsid w:val="0031614E"/>
    <w:rsid w:val="003166A6"/>
    <w:rsid w:val="00316A6D"/>
    <w:rsid w:val="00316C61"/>
    <w:rsid w:val="00316DAF"/>
    <w:rsid w:val="00317896"/>
    <w:rsid w:val="00317A20"/>
    <w:rsid w:val="00317DF5"/>
    <w:rsid w:val="00317E1A"/>
    <w:rsid w:val="0032074B"/>
    <w:rsid w:val="003208E5"/>
    <w:rsid w:val="00320E9E"/>
    <w:rsid w:val="00321CF7"/>
    <w:rsid w:val="0032217F"/>
    <w:rsid w:val="00322487"/>
    <w:rsid w:val="003224CE"/>
    <w:rsid w:val="003225AD"/>
    <w:rsid w:val="00322610"/>
    <w:rsid w:val="0032267C"/>
    <w:rsid w:val="00322F6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CD6"/>
    <w:rsid w:val="00326DFA"/>
    <w:rsid w:val="0032708B"/>
    <w:rsid w:val="00327957"/>
    <w:rsid w:val="003279D7"/>
    <w:rsid w:val="00330068"/>
    <w:rsid w:val="00330712"/>
    <w:rsid w:val="0033073E"/>
    <w:rsid w:val="003307FC"/>
    <w:rsid w:val="00330923"/>
    <w:rsid w:val="00330FDD"/>
    <w:rsid w:val="00331240"/>
    <w:rsid w:val="0033133C"/>
    <w:rsid w:val="0033141C"/>
    <w:rsid w:val="00331770"/>
    <w:rsid w:val="00331882"/>
    <w:rsid w:val="00331901"/>
    <w:rsid w:val="00331AF4"/>
    <w:rsid w:val="00331C4F"/>
    <w:rsid w:val="00331CE0"/>
    <w:rsid w:val="00332388"/>
    <w:rsid w:val="003327B1"/>
    <w:rsid w:val="00332950"/>
    <w:rsid w:val="00332A71"/>
    <w:rsid w:val="00332B7C"/>
    <w:rsid w:val="00333252"/>
    <w:rsid w:val="003335B3"/>
    <w:rsid w:val="00333610"/>
    <w:rsid w:val="00333718"/>
    <w:rsid w:val="00333A86"/>
    <w:rsid w:val="00333D66"/>
    <w:rsid w:val="00333F9C"/>
    <w:rsid w:val="00334865"/>
    <w:rsid w:val="00334C41"/>
    <w:rsid w:val="00334F3D"/>
    <w:rsid w:val="00335B6A"/>
    <w:rsid w:val="00336566"/>
    <w:rsid w:val="00336B1A"/>
    <w:rsid w:val="00336F0F"/>
    <w:rsid w:val="0033732A"/>
    <w:rsid w:val="003373E0"/>
    <w:rsid w:val="0033752B"/>
    <w:rsid w:val="00337559"/>
    <w:rsid w:val="00337A0B"/>
    <w:rsid w:val="00340630"/>
    <w:rsid w:val="00340B19"/>
    <w:rsid w:val="00340C39"/>
    <w:rsid w:val="00340EB2"/>
    <w:rsid w:val="0034120F"/>
    <w:rsid w:val="00341225"/>
    <w:rsid w:val="00341C30"/>
    <w:rsid w:val="00341F5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094"/>
    <w:rsid w:val="00350151"/>
    <w:rsid w:val="00350694"/>
    <w:rsid w:val="00350AB9"/>
    <w:rsid w:val="00350C28"/>
    <w:rsid w:val="00350F87"/>
    <w:rsid w:val="00351126"/>
    <w:rsid w:val="00351309"/>
    <w:rsid w:val="00351343"/>
    <w:rsid w:val="003513E7"/>
    <w:rsid w:val="003513FD"/>
    <w:rsid w:val="0035155E"/>
    <w:rsid w:val="00351998"/>
    <w:rsid w:val="00351E9E"/>
    <w:rsid w:val="00351F85"/>
    <w:rsid w:val="00351FAD"/>
    <w:rsid w:val="00352028"/>
    <w:rsid w:val="00352863"/>
    <w:rsid w:val="00352AD8"/>
    <w:rsid w:val="00352D15"/>
    <w:rsid w:val="003534AC"/>
    <w:rsid w:val="00353CC9"/>
    <w:rsid w:val="003540B3"/>
    <w:rsid w:val="003540D9"/>
    <w:rsid w:val="00354118"/>
    <w:rsid w:val="0035411C"/>
    <w:rsid w:val="0035443E"/>
    <w:rsid w:val="00354607"/>
    <w:rsid w:val="0035473F"/>
    <w:rsid w:val="003548BD"/>
    <w:rsid w:val="00354911"/>
    <w:rsid w:val="00355484"/>
    <w:rsid w:val="003558BA"/>
    <w:rsid w:val="00355920"/>
    <w:rsid w:val="00355A69"/>
    <w:rsid w:val="00355B80"/>
    <w:rsid w:val="00355E2E"/>
    <w:rsid w:val="00355F3B"/>
    <w:rsid w:val="00355FFB"/>
    <w:rsid w:val="003561FD"/>
    <w:rsid w:val="003564A6"/>
    <w:rsid w:val="00356FBC"/>
    <w:rsid w:val="0035710F"/>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9F8"/>
    <w:rsid w:val="00364C9C"/>
    <w:rsid w:val="003650C6"/>
    <w:rsid w:val="00365347"/>
    <w:rsid w:val="003653CA"/>
    <w:rsid w:val="0036582D"/>
    <w:rsid w:val="00365E2F"/>
    <w:rsid w:val="00365E34"/>
    <w:rsid w:val="0036625F"/>
    <w:rsid w:val="0036679C"/>
    <w:rsid w:val="00366B2E"/>
    <w:rsid w:val="00366B50"/>
    <w:rsid w:val="00366BCD"/>
    <w:rsid w:val="0036760D"/>
    <w:rsid w:val="00367646"/>
    <w:rsid w:val="00367B8E"/>
    <w:rsid w:val="00367BBC"/>
    <w:rsid w:val="00367CCA"/>
    <w:rsid w:val="00367DA8"/>
    <w:rsid w:val="00367E17"/>
    <w:rsid w:val="003709F3"/>
    <w:rsid w:val="00370EEC"/>
    <w:rsid w:val="00370F91"/>
    <w:rsid w:val="0037131C"/>
    <w:rsid w:val="0037142C"/>
    <w:rsid w:val="00371B18"/>
    <w:rsid w:val="00371F8B"/>
    <w:rsid w:val="00372155"/>
    <w:rsid w:val="003725F1"/>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216"/>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969"/>
    <w:rsid w:val="00396C36"/>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38D"/>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2ED5"/>
    <w:rsid w:val="003B3CFC"/>
    <w:rsid w:val="003B4412"/>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29D"/>
    <w:rsid w:val="003D0106"/>
    <w:rsid w:val="003D030B"/>
    <w:rsid w:val="003D0565"/>
    <w:rsid w:val="003D0A6F"/>
    <w:rsid w:val="003D0E73"/>
    <w:rsid w:val="003D0EC2"/>
    <w:rsid w:val="003D18AB"/>
    <w:rsid w:val="003D1F3B"/>
    <w:rsid w:val="003D259F"/>
    <w:rsid w:val="003D25AE"/>
    <w:rsid w:val="003D2A5D"/>
    <w:rsid w:val="003D2D48"/>
    <w:rsid w:val="003D340F"/>
    <w:rsid w:val="003D3A04"/>
    <w:rsid w:val="003D4CE8"/>
    <w:rsid w:val="003D525E"/>
    <w:rsid w:val="003D615C"/>
    <w:rsid w:val="003D64F5"/>
    <w:rsid w:val="003D6A98"/>
    <w:rsid w:val="003D6D5F"/>
    <w:rsid w:val="003D7216"/>
    <w:rsid w:val="003D736B"/>
    <w:rsid w:val="003E00B5"/>
    <w:rsid w:val="003E010C"/>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09F"/>
    <w:rsid w:val="003E4713"/>
    <w:rsid w:val="003E478D"/>
    <w:rsid w:val="003E4E65"/>
    <w:rsid w:val="003E4EA1"/>
    <w:rsid w:val="003E54A1"/>
    <w:rsid w:val="003E54DD"/>
    <w:rsid w:val="003E5A0C"/>
    <w:rsid w:val="003E6180"/>
    <w:rsid w:val="003E63EB"/>
    <w:rsid w:val="003E6961"/>
    <w:rsid w:val="003E6B45"/>
    <w:rsid w:val="003E6FA7"/>
    <w:rsid w:val="003E74AC"/>
    <w:rsid w:val="003E74DA"/>
    <w:rsid w:val="003E754E"/>
    <w:rsid w:val="003E7585"/>
    <w:rsid w:val="003E7B81"/>
    <w:rsid w:val="003E7CE4"/>
    <w:rsid w:val="003E7CF8"/>
    <w:rsid w:val="003F0005"/>
    <w:rsid w:val="003F0318"/>
    <w:rsid w:val="003F07E8"/>
    <w:rsid w:val="003F14E6"/>
    <w:rsid w:val="003F18C1"/>
    <w:rsid w:val="003F1996"/>
    <w:rsid w:val="003F19D5"/>
    <w:rsid w:val="003F1FF9"/>
    <w:rsid w:val="003F2020"/>
    <w:rsid w:val="003F225C"/>
    <w:rsid w:val="003F22B4"/>
    <w:rsid w:val="003F2473"/>
    <w:rsid w:val="003F26E9"/>
    <w:rsid w:val="003F27AE"/>
    <w:rsid w:val="003F2AD0"/>
    <w:rsid w:val="003F2EF2"/>
    <w:rsid w:val="003F30B4"/>
    <w:rsid w:val="003F33C6"/>
    <w:rsid w:val="003F3879"/>
    <w:rsid w:val="003F38F3"/>
    <w:rsid w:val="003F39BE"/>
    <w:rsid w:val="003F39D3"/>
    <w:rsid w:val="003F3D1C"/>
    <w:rsid w:val="003F3EC5"/>
    <w:rsid w:val="003F43C9"/>
    <w:rsid w:val="003F4404"/>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9A0"/>
    <w:rsid w:val="00402EB6"/>
    <w:rsid w:val="00403072"/>
    <w:rsid w:val="004031DE"/>
    <w:rsid w:val="004032BF"/>
    <w:rsid w:val="00403377"/>
    <w:rsid w:val="0040388D"/>
    <w:rsid w:val="00403E02"/>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8F"/>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862"/>
    <w:rsid w:val="00412A9E"/>
    <w:rsid w:val="00412CD0"/>
    <w:rsid w:val="00412E2E"/>
    <w:rsid w:val="00412E47"/>
    <w:rsid w:val="004130F0"/>
    <w:rsid w:val="00413572"/>
    <w:rsid w:val="00413B72"/>
    <w:rsid w:val="00413CE7"/>
    <w:rsid w:val="00414328"/>
    <w:rsid w:val="00414841"/>
    <w:rsid w:val="0041495D"/>
    <w:rsid w:val="00414EA8"/>
    <w:rsid w:val="00414EAC"/>
    <w:rsid w:val="00415116"/>
    <w:rsid w:val="004154D2"/>
    <w:rsid w:val="00416238"/>
    <w:rsid w:val="0041642F"/>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37DB"/>
    <w:rsid w:val="00424257"/>
    <w:rsid w:val="00425931"/>
    <w:rsid w:val="004259DA"/>
    <w:rsid w:val="00425E2D"/>
    <w:rsid w:val="00426225"/>
    <w:rsid w:val="004263BB"/>
    <w:rsid w:val="00426511"/>
    <w:rsid w:val="0042665D"/>
    <w:rsid w:val="004267D0"/>
    <w:rsid w:val="00426B55"/>
    <w:rsid w:val="00426DC9"/>
    <w:rsid w:val="00426FCB"/>
    <w:rsid w:val="0042734F"/>
    <w:rsid w:val="0042735B"/>
    <w:rsid w:val="00427B5F"/>
    <w:rsid w:val="00427C68"/>
    <w:rsid w:val="0043007C"/>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2CB"/>
    <w:rsid w:val="0044044A"/>
    <w:rsid w:val="00440E4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DC4"/>
    <w:rsid w:val="00445EB8"/>
    <w:rsid w:val="00445EE6"/>
    <w:rsid w:val="0044627C"/>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EE"/>
    <w:rsid w:val="00454EFD"/>
    <w:rsid w:val="00455158"/>
    <w:rsid w:val="004551B2"/>
    <w:rsid w:val="004556F7"/>
    <w:rsid w:val="004557E5"/>
    <w:rsid w:val="00455D30"/>
    <w:rsid w:val="00456218"/>
    <w:rsid w:val="004563CC"/>
    <w:rsid w:val="00456511"/>
    <w:rsid w:val="0045667F"/>
    <w:rsid w:val="004569CB"/>
    <w:rsid w:val="00456AF9"/>
    <w:rsid w:val="00456B17"/>
    <w:rsid w:val="00456C55"/>
    <w:rsid w:val="00457486"/>
    <w:rsid w:val="00457985"/>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240"/>
    <w:rsid w:val="004646FB"/>
    <w:rsid w:val="0046479E"/>
    <w:rsid w:val="00464979"/>
    <w:rsid w:val="004654D3"/>
    <w:rsid w:val="004659B7"/>
    <w:rsid w:val="00465C4A"/>
    <w:rsid w:val="00465EFB"/>
    <w:rsid w:val="004660A4"/>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1EB1"/>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641"/>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BBD"/>
    <w:rsid w:val="00484E53"/>
    <w:rsid w:val="004853D8"/>
    <w:rsid w:val="00485624"/>
    <w:rsid w:val="004856BA"/>
    <w:rsid w:val="004858A7"/>
    <w:rsid w:val="00485C8B"/>
    <w:rsid w:val="00486250"/>
    <w:rsid w:val="00486341"/>
    <w:rsid w:val="00486429"/>
    <w:rsid w:val="004864CF"/>
    <w:rsid w:val="00486885"/>
    <w:rsid w:val="004868A5"/>
    <w:rsid w:val="00486EE2"/>
    <w:rsid w:val="00486FB8"/>
    <w:rsid w:val="00486FD7"/>
    <w:rsid w:val="004871B6"/>
    <w:rsid w:val="004876A4"/>
    <w:rsid w:val="00487951"/>
    <w:rsid w:val="00487D2E"/>
    <w:rsid w:val="00487FD6"/>
    <w:rsid w:val="0049028A"/>
    <w:rsid w:val="00490397"/>
    <w:rsid w:val="00490AA2"/>
    <w:rsid w:val="00490D47"/>
    <w:rsid w:val="00491080"/>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2F4"/>
    <w:rsid w:val="00494456"/>
    <w:rsid w:val="00494A23"/>
    <w:rsid w:val="00494A5C"/>
    <w:rsid w:val="00494A8B"/>
    <w:rsid w:val="004955A9"/>
    <w:rsid w:val="00495679"/>
    <w:rsid w:val="00495BD2"/>
    <w:rsid w:val="004961C6"/>
    <w:rsid w:val="004969F4"/>
    <w:rsid w:val="00496B42"/>
    <w:rsid w:val="00496C1A"/>
    <w:rsid w:val="00496C62"/>
    <w:rsid w:val="0049737D"/>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4C82"/>
    <w:rsid w:val="004A4E8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2B6"/>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C0103"/>
    <w:rsid w:val="004C0152"/>
    <w:rsid w:val="004C01C6"/>
    <w:rsid w:val="004C01E3"/>
    <w:rsid w:val="004C02F3"/>
    <w:rsid w:val="004C02FC"/>
    <w:rsid w:val="004C0332"/>
    <w:rsid w:val="004C0381"/>
    <w:rsid w:val="004C04F5"/>
    <w:rsid w:val="004C1290"/>
    <w:rsid w:val="004C26C5"/>
    <w:rsid w:val="004C28AF"/>
    <w:rsid w:val="004C31C3"/>
    <w:rsid w:val="004C344E"/>
    <w:rsid w:val="004C3810"/>
    <w:rsid w:val="004C4066"/>
    <w:rsid w:val="004C4290"/>
    <w:rsid w:val="004C43C5"/>
    <w:rsid w:val="004C4AC7"/>
    <w:rsid w:val="004C5484"/>
    <w:rsid w:val="004C5857"/>
    <w:rsid w:val="004C59AA"/>
    <w:rsid w:val="004C59B9"/>
    <w:rsid w:val="004C5D1D"/>
    <w:rsid w:val="004C6616"/>
    <w:rsid w:val="004C6B93"/>
    <w:rsid w:val="004C6BAA"/>
    <w:rsid w:val="004C6BC6"/>
    <w:rsid w:val="004C6C01"/>
    <w:rsid w:val="004C72F3"/>
    <w:rsid w:val="004C7355"/>
    <w:rsid w:val="004C76F8"/>
    <w:rsid w:val="004C7979"/>
    <w:rsid w:val="004C7C90"/>
    <w:rsid w:val="004D059B"/>
    <w:rsid w:val="004D05F5"/>
    <w:rsid w:val="004D0B9E"/>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0EFD"/>
    <w:rsid w:val="004E1152"/>
    <w:rsid w:val="004E11F2"/>
    <w:rsid w:val="004E155E"/>
    <w:rsid w:val="004E1659"/>
    <w:rsid w:val="004E1A7B"/>
    <w:rsid w:val="004E1E8C"/>
    <w:rsid w:val="004E2330"/>
    <w:rsid w:val="004E25E0"/>
    <w:rsid w:val="004E262D"/>
    <w:rsid w:val="004E2ACA"/>
    <w:rsid w:val="004E3108"/>
    <w:rsid w:val="004E322B"/>
    <w:rsid w:val="004E3602"/>
    <w:rsid w:val="004E3B79"/>
    <w:rsid w:val="004E3B8E"/>
    <w:rsid w:val="004E3CBB"/>
    <w:rsid w:val="004E3E54"/>
    <w:rsid w:val="004E3E62"/>
    <w:rsid w:val="004E410F"/>
    <w:rsid w:val="004E45EF"/>
    <w:rsid w:val="004E491B"/>
    <w:rsid w:val="004E4DAB"/>
    <w:rsid w:val="004E4E6D"/>
    <w:rsid w:val="004E53AA"/>
    <w:rsid w:val="004E5D03"/>
    <w:rsid w:val="004E5E9C"/>
    <w:rsid w:val="004E5F15"/>
    <w:rsid w:val="004E6185"/>
    <w:rsid w:val="004E6262"/>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096"/>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4A9"/>
    <w:rsid w:val="0050099E"/>
    <w:rsid w:val="005009AB"/>
    <w:rsid w:val="00500D29"/>
    <w:rsid w:val="0050110A"/>
    <w:rsid w:val="0050120D"/>
    <w:rsid w:val="005014A3"/>
    <w:rsid w:val="00501BC1"/>
    <w:rsid w:val="00501FDE"/>
    <w:rsid w:val="00502465"/>
    <w:rsid w:val="0050255C"/>
    <w:rsid w:val="00502924"/>
    <w:rsid w:val="00502CB7"/>
    <w:rsid w:val="005034FA"/>
    <w:rsid w:val="00503518"/>
    <w:rsid w:val="00503722"/>
    <w:rsid w:val="0050396B"/>
    <w:rsid w:val="00503B39"/>
    <w:rsid w:val="005047A2"/>
    <w:rsid w:val="00504AFB"/>
    <w:rsid w:val="00504B18"/>
    <w:rsid w:val="00504B60"/>
    <w:rsid w:val="00504E89"/>
    <w:rsid w:val="00504FDD"/>
    <w:rsid w:val="00505302"/>
    <w:rsid w:val="00505359"/>
    <w:rsid w:val="00505B82"/>
    <w:rsid w:val="00505FFE"/>
    <w:rsid w:val="0050611A"/>
    <w:rsid w:val="005065E6"/>
    <w:rsid w:val="005066BC"/>
    <w:rsid w:val="005068A6"/>
    <w:rsid w:val="00506B0D"/>
    <w:rsid w:val="00507032"/>
    <w:rsid w:val="00507CE1"/>
    <w:rsid w:val="0051002B"/>
    <w:rsid w:val="0051016E"/>
    <w:rsid w:val="00510522"/>
    <w:rsid w:val="00510695"/>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675"/>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849"/>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2D2A"/>
    <w:rsid w:val="0052316D"/>
    <w:rsid w:val="005232A5"/>
    <w:rsid w:val="005236AE"/>
    <w:rsid w:val="005236BF"/>
    <w:rsid w:val="00523756"/>
    <w:rsid w:val="00523760"/>
    <w:rsid w:val="005246F5"/>
    <w:rsid w:val="00524DBE"/>
    <w:rsid w:val="0052507B"/>
    <w:rsid w:val="005252F1"/>
    <w:rsid w:val="0052560F"/>
    <w:rsid w:val="00525BC2"/>
    <w:rsid w:val="00525D51"/>
    <w:rsid w:val="00526411"/>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76C"/>
    <w:rsid w:val="00545A0D"/>
    <w:rsid w:val="00545BEF"/>
    <w:rsid w:val="00545E08"/>
    <w:rsid w:val="00545E39"/>
    <w:rsid w:val="005462F5"/>
    <w:rsid w:val="0054684D"/>
    <w:rsid w:val="00546A18"/>
    <w:rsid w:val="00546BDD"/>
    <w:rsid w:val="005470F4"/>
    <w:rsid w:val="0054713F"/>
    <w:rsid w:val="005477EB"/>
    <w:rsid w:val="00550216"/>
    <w:rsid w:val="005504B7"/>
    <w:rsid w:val="00551304"/>
    <w:rsid w:val="00551340"/>
    <w:rsid w:val="00551463"/>
    <w:rsid w:val="00551576"/>
    <w:rsid w:val="00551BB3"/>
    <w:rsid w:val="00551BDD"/>
    <w:rsid w:val="00551C2B"/>
    <w:rsid w:val="005520C0"/>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8F"/>
    <w:rsid w:val="005612EB"/>
    <w:rsid w:val="00561591"/>
    <w:rsid w:val="0056175B"/>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6B5"/>
    <w:rsid w:val="00574EFD"/>
    <w:rsid w:val="00575590"/>
    <w:rsid w:val="0057565A"/>
    <w:rsid w:val="005759ED"/>
    <w:rsid w:val="00575FFC"/>
    <w:rsid w:val="005769FE"/>
    <w:rsid w:val="00576C13"/>
    <w:rsid w:val="00576D0A"/>
    <w:rsid w:val="00576EF2"/>
    <w:rsid w:val="005774E0"/>
    <w:rsid w:val="0057780A"/>
    <w:rsid w:val="005778D3"/>
    <w:rsid w:val="005778DE"/>
    <w:rsid w:val="0057792B"/>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B04"/>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C2B"/>
    <w:rsid w:val="00586D37"/>
    <w:rsid w:val="00586DB5"/>
    <w:rsid w:val="00586F9D"/>
    <w:rsid w:val="00587213"/>
    <w:rsid w:val="005872C9"/>
    <w:rsid w:val="00587BFC"/>
    <w:rsid w:val="0059018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7AF"/>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CD"/>
    <w:rsid w:val="005A41EE"/>
    <w:rsid w:val="005A4384"/>
    <w:rsid w:val="005A5232"/>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286"/>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1C"/>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A3A"/>
    <w:rsid w:val="005C0B3F"/>
    <w:rsid w:val="005C0C87"/>
    <w:rsid w:val="005C1293"/>
    <w:rsid w:val="005C1ECB"/>
    <w:rsid w:val="005C21AF"/>
    <w:rsid w:val="005C22EC"/>
    <w:rsid w:val="005C2781"/>
    <w:rsid w:val="005C29A4"/>
    <w:rsid w:val="005C29CC"/>
    <w:rsid w:val="005C2B8C"/>
    <w:rsid w:val="005C2B9C"/>
    <w:rsid w:val="005C2F66"/>
    <w:rsid w:val="005C309D"/>
    <w:rsid w:val="005C35BB"/>
    <w:rsid w:val="005C3763"/>
    <w:rsid w:val="005C3E74"/>
    <w:rsid w:val="005C3FCC"/>
    <w:rsid w:val="005C423E"/>
    <w:rsid w:val="005C458B"/>
    <w:rsid w:val="005C4591"/>
    <w:rsid w:val="005C491B"/>
    <w:rsid w:val="005C4C22"/>
    <w:rsid w:val="005C4C75"/>
    <w:rsid w:val="005C4E8E"/>
    <w:rsid w:val="005C555D"/>
    <w:rsid w:val="005C5665"/>
    <w:rsid w:val="005C638E"/>
    <w:rsid w:val="005C6417"/>
    <w:rsid w:val="005C6C46"/>
    <w:rsid w:val="005C6FA8"/>
    <w:rsid w:val="005C757F"/>
    <w:rsid w:val="005D01EC"/>
    <w:rsid w:val="005D029D"/>
    <w:rsid w:val="005D0412"/>
    <w:rsid w:val="005D1384"/>
    <w:rsid w:val="005D1687"/>
    <w:rsid w:val="005D18DA"/>
    <w:rsid w:val="005D1914"/>
    <w:rsid w:val="005D1D3E"/>
    <w:rsid w:val="005D1F3E"/>
    <w:rsid w:val="005D25FF"/>
    <w:rsid w:val="005D2631"/>
    <w:rsid w:val="005D2680"/>
    <w:rsid w:val="005D279E"/>
    <w:rsid w:val="005D2BCE"/>
    <w:rsid w:val="005D3D38"/>
    <w:rsid w:val="005D3DA4"/>
    <w:rsid w:val="005D4011"/>
    <w:rsid w:val="005D434E"/>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4DC"/>
    <w:rsid w:val="005E29A2"/>
    <w:rsid w:val="005E29B9"/>
    <w:rsid w:val="005E35D2"/>
    <w:rsid w:val="005E38C2"/>
    <w:rsid w:val="005E3988"/>
    <w:rsid w:val="005E3BB4"/>
    <w:rsid w:val="005E4313"/>
    <w:rsid w:val="005E4356"/>
    <w:rsid w:val="005E43EB"/>
    <w:rsid w:val="005E4625"/>
    <w:rsid w:val="005E46A8"/>
    <w:rsid w:val="005E46AE"/>
    <w:rsid w:val="005E49B8"/>
    <w:rsid w:val="005E4B33"/>
    <w:rsid w:val="005E4D06"/>
    <w:rsid w:val="005E514D"/>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145"/>
    <w:rsid w:val="005F22D5"/>
    <w:rsid w:val="005F239D"/>
    <w:rsid w:val="005F2469"/>
    <w:rsid w:val="005F25C7"/>
    <w:rsid w:val="005F25F4"/>
    <w:rsid w:val="005F26CD"/>
    <w:rsid w:val="005F2993"/>
    <w:rsid w:val="005F2A10"/>
    <w:rsid w:val="005F2B05"/>
    <w:rsid w:val="005F2B23"/>
    <w:rsid w:val="005F2DD2"/>
    <w:rsid w:val="005F3309"/>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3D9"/>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A7C"/>
    <w:rsid w:val="0061367F"/>
    <w:rsid w:val="006136F4"/>
    <w:rsid w:val="00613A83"/>
    <w:rsid w:val="0061487E"/>
    <w:rsid w:val="0061499A"/>
    <w:rsid w:val="00614A54"/>
    <w:rsid w:val="00614B6C"/>
    <w:rsid w:val="00614F59"/>
    <w:rsid w:val="0061500C"/>
    <w:rsid w:val="0061558A"/>
    <w:rsid w:val="0061576C"/>
    <w:rsid w:val="00615B92"/>
    <w:rsid w:val="00615CE8"/>
    <w:rsid w:val="00615D76"/>
    <w:rsid w:val="00616790"/>
    <w:rsid w:val="006169A1"/>
    <w:rsid w:val="00617210"/>
    <w:rsid w:val="006172D4"/>
    <w:rsid w:val="006175AA"/>
    <w:rsid w:val="00617A2D"/>
    <w:rsid w:val="00617B72"/>
    <w:rsid w:val="00617EEA"/>
    <w:rsid w:val="00620133"/>
    <w:rsid w:val="006201C2"/>
    <w:rsid w:val="006209AF"/>
    <w:rsid w:val="006209B5"/>
    <w:rsid w:val="00620B7E"/>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15"/>
    <w:rsid w:val="0063074C"/>
    <w:rsid w:val="00630817"/>
    <w:rsid w:val="00630830"/>
    <w:rsid w:val="0063103C"/>
    <w:rsid w:val="00632AE5"/>
    <w:rsid w:val="00633096"/>
    <w:rsid w:val="00633939"/>
    <w:rsid w:val="00633A40"/>
    <w:rsid w:val="00634032"/>
    <w:rsid w:val="00634048"/>
    <w:rsid w:val="006340C1"/>
    <w:rsid w:val="00634135"/>
    <w:rsid w:val="0063481E"/>
    <w:rsid w:val="00634828"/>
    <w:rsid w:val="00635416"/>
    <w:rsid w:val="006354B2"/>
    <w:rsid w:val="00635589"/>
    <w:rsid w:val="00635645"/>
    <w:rsid w:val="006356E7"/>
    <w:rsid w:val="00635740"/>
    <w:rsid w:val="006359C8"/>
    <w:rsid w:val="0063679E"/>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5F1"/>
    <w:rsid w:val="0064166C"/>
    <w:rsid w:val="00641ED0"/>
    <w:rsid w:val="00641F9F"/>
    <w:rsid w:val="00642105"/>
    <w:rsid w:val="006421E4"/>
    <w:rsid w:val="00642564"/>
    <w:rsid w:val="0064280B"/>
    <w:rsid w:val="00642C0D"/>
    <w:rsid w:val="00643396"/>
    <w:rsid w:val="0064345F"/>
    <w:rsid w:val="006434A0"/>
    <w:rsid w:val="00643B36"/>
    <w:rsid w:val="0064410E"/>
    <w:rsid w:val="006443F8"/>
    <w:rsid w:val="0064479A"/>
    <w:rsid w:val="00644828"/>
    <w:rsid w:val="006449BB"/>
    <w:rsid w:val="00644B7E"/>
    <w:rsid w:val="006452A3"/>
    <w:rsid w:val="006452C7"/>
    <w:rsid w:val="00645B62"/>
    <w:rsid w:val="0064646A"/>
    <w:rsid w:val="006464B4"/>
    <w:rsid w:val="00646966"/>
    <w:rsid w:val="00646C93"/>
    <w:rsid w:val="00647065"/>
    <w:rsid w:val="0064786C"/>
    <w:rsid w:val="00647D94"/>
    <w:rsid w:val="0065064E"/>
    <w:rsid w:val="006507D0"/>
    <w:rsid w:val="00650A97"/>
    <w:rsid w:val="00650B62"/>
    <w:rsid w:val="00650E6B"/>
    <w:rsid w:val="006519CD"/>
    <w:rsid w:val="00651E7B"/>
    <w:rsid w:val="0065241E"/>
    <w:rsid w:val="00652667"/>
    <w:rsid w:val="0065287A"/>
    <w:rsid w:val="00652AFE"/>
    <w:rsid w:val="00652C81"/>
    <w:rsid w:val="00652DB2"/>
    <w:rsid w:val="00653137"/>
    <w:rsid w:val="006531EC"/>
    <w:rsid w:val="006533C4"/>
    <w:rsid w:val="00653555"/>
    <w:rsid w:val="0065368E"/>
    <w:rsid w:val="00653945"/>
    <w:rsid w:val="00653D69"/>
    <w:rsid w:val="00653E18"/>
    <w:rsid w:val="00653F38"/>
    <w:rsid w:val="006542F3"/>
    <w:rsid w:val="00654C1B"/>
    <w:rsid w:val="00654D23"/>
    <w:rsid w:val="00655046"/>
    <w:rsid w:val="006551BA"/>
    <w:rsid w:val="00655A19"/>
    <w:rsid w:val="00655B05"/>
    <w:rsid w:val="00655CD7"/>
    <w:rsid w:val="006563C3"/>
    <w:rsid w:val="0065671B"/>
    <w:rsid w:val="0065692D"/>
    <w:rsid w:val="00656ED9"/>
    <w:rsid w:val="00657440"/>
    <w:rsid w:val="00657853"/>
    <w:rsid w:val="00657A2A"/>
    <w:rsid w:val="00657E7D"/>
    <w:rsid w:val="00657ED8"/>
    <w:rsid w:val="006601A7"/>
    <w:rsid w:val="00660236"/>
    <w:rsid w:val="0066053E"/>
    <w:rsid w:val="00660AB1"/>
    <w:rsid w:val="0066103B"/>
    <w:rsid w:val="00661467"/>
    <w:rsid w:val="0066155B"/>
    <w:rsid w:val="00661B67"/>
    <w:rsid w:val="00661C5F"/>
    <w:rsid w:val="00661EFA"/>
    <w:rsid w:val="00662431"/>
    <w:rsid w:val="006628E9"/>
    <w:rsid w:val="00662C6C"/>
    <w:rsid w:val="0066373F"/>
    <w:rsid w:val="006638B8"/>
    <w:rsid w:val="00663F0D"/>
    <w:rsid w:val="00663FF4"/>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A30"/>
    <w:rsid w:val="00670F41"/>
    <w:rsid w:val="00670FA5"/>
    <w:rsid w:val="00671274"/>
    <w:rsid w:val="0067132F"/>
    <w:rsid w:val="00671E43"/>
    <w:rsid w:val="00671E9C"/>
    <w:rsid w:val="00671EFA"/>
    <w:rsid w:val="00672155"/>
    <w:rsid w:val="006721B4"/>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1A"/>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75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C3F"/>
    <w:rsid w:val="00685E9F"/>
    <w:rsid w:val="00685FFE"/>
    <w:rsid w:val="00686323"/>
    <w:rsid w:val="0068648A"/>
    <w:rsid w:val="006864D0"/>
    <w:rsid w:val="006864E3"/>
    <w:rsid w:val="0068688B"/>
    <w:rsid w:val="0068710A"/>
    <w:rsid w:val="00687130"/>
    <w:rsid w:val="006871F4"/>
    <w:rsid w:val="00687B6A"/>
    <w:rsid w:val="00687CA8"/>
    <w:rsid w:val="00687CB4"/>
    <w:rsid w:val="00690311"/>
    <w:rsid w:val="00690346"/>
    <w:rsid w:val="00690520"/>
    <w:rsid w:val="0069083C"/>
    <w:rsid w:val="00690CBF"/>
    <w:rsid w:val="006913C3"/>
    <w:rsid w:val="00691495"/>
    <w:rsid w:val="0069174B"/>
    <w:rsid w:val="00691E0A"/>
    <w:rsid w:val="0069208A"/>
    <w:rsid w:val="006924CE"/>
    <w:rsid w:val="0069264E"/>
    <w:rsid w:val="006926D9"/>
    <w:rsid w:val="0069276D"/>
    <w:rsid w:val="006928E0"/>
    <w:rsid w:val="00692B21"/>
    <w:rsid w:val="0069327B"/>
    <w:rsid w:val="00693558"/>
    <w:rsid w:val="00693FFD"/>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62D"/>
    <w:rsid w:val="00697D7E"/>
    <w:rsid w:val="00697EEB"/>
    <w:rsid w:val="00697F55"/>
    <w:rsid w:val="006A0182"/>
    <w:rsid w:val="006A041D"/>
    <w:rsid w:val="006A045E"/>
    <w:rsid w:val="006A053E"/>
    <w:rsid w:val="006A0BFD"/>
    <w:rsid w:val="006A0D88"/>
    <w:rsid w:val="006A1597"/>
    <w:rsid w:val="006A16C7"/>
    <w:rsid w:val="006A171C"/>
    <w:rsid w:val="006A18FF"/>
    <w:rsid w:val="006A1A0B"/>
    <w:rsid w:val="006A1D21"/>
    <w:rsid w:val="006A20BD"/>
    <w:rsid w:val="006A2312"/>
    <w:rsid w:val="006A23B4"/>
    <w:rsid w:val="006A250E"/>
    <w:rsid w:val="006A29EF"/>
    <w:rsid w:val="006A2A11"/>
    <w:rsid w:val="006A2B43"/>
    <w:rsid w:val="006A3EFA"/>
    <w:rsid w:val="006A4412"/>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2CD"/>
    <w:rsid w:val="006B13C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6C8"/>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6AF"/>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6"/>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911"/>
    <w:rsid w:val="006D1C71"/>
    <w:rsid w:val="006D1DDC"/>
    <w:rsid w:val="006D1EE5"/>
    <w:rsid w:val="006D21A0"/>
    <w:rsid w:val="006D2696"/>
    <w:rsid w:val="006D29DF"/>
    <w:rsid w:val="006D2B24"/>
    <w:rsid w:val="006D2C8E"/>
    <w:rsid w:val="006D2D9C"/>
    <w:rsid w:val="006D3028"/>
    <w:rsid w:val="006D35BB"/>
    <w:rsid w:val="006D3642"/>
    <w:rsid w:val="006D3808"/>
    <w:rsid w:val="006D3B9D"/>
    <w:rsid w:val="006D3FC5"/>
    <w:rsid w:val="006D46C9"/>
    <w:rsid w:val="006D46ED"/>
    <w:rsid w:val="006D4A5E"/>
    <w:rsid w:val="006D4E58"/>
    <w:rsid w:val="006D4FC8"/>
    <w:rsid w:val="006D54AC"/>
    <w:rsid w:val="006D54E6"/>
    <w:rsid w:val="006D5523"/>
    <w:rsid w:val="006D56B9"/>
    <w:rsid w:val="006D5BF2"/>
    <w:rsid w:val="006D5C9B"/>
    <w:rsid w:val="006D5CB1"/>
    <w:rsid w:val="006D5E08"/>
    <w:rsid w:val="006D616D"/>
    <w:rsid w:val="006D6666"/>
    <w:rsid w:val="006D6842"/>
    <w:rsid w:val="006D6CE3"/>
    <w:rsid w:val="006D730C"/>
    <w:rsid w:val="006D73E8"/>
    <w:rsid w:val="006D7427"/>
    <w:rsid w:val="006D742A"/>
    <w:rsid w:val="006D7F65"/>
    <w:rsid w:val="006E00F9"/>
    <w:rsid w:val="006E0BF4"/>
    <w:rsid w:val="006E1210"/>
    <w:rsid w:val="006E1228"/>
    <w:rsid w:val="006E122C"/>
    <w:rsid w:val="006E126F"/>
    <w:rsid w:val="006E1386"/>
    <w:rsid w:val="006E1499"/>
    <w:rsid w:val="006E14C4"/>
    <w:rsid w:val="006E15EB"/>
    <w:rsid w:val="006E2436"/>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53D"/>
    <w:rsid w:val="006E6627"/>
    <w:rsid w:val="006E66B4"/>
    <w:rsid w:val="006E68A5"/>
    <w:rsid w:val="006E6AAD"/>
    <w:rsid w:val="006E6F4C"/>
    <w:rsid w:val="006E7520"/>
    <w:rsid w:val="006E7531"/>
    <w:rsid w:val="006E79E1"/>
    <w:rsid w:val="006E7A7F"/>
    <w:rsid w:val="006E7D16"/>
    <w:rsid w:val="006F010C"/>
    <w:rsid w:val="006F03A3"/>
    <w:rsid w:val="006F09E3"/>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697"/>
    <w:rsid w:val="006F48F4"/>
    <w:rsid w:val="006F4F32"/>
    <w:rsid w:val="006F5070"/>
    <w:rsid w:val="006F5562"/>
    <w:rsid w:val="006F5A1F"/>
    <w:rsid w:val="006F5D8B"/>
    <w:rsid w:val="006F610C"/>
    <w:rsid w:val="006F6268"/>
    <w:rsid w:val="006F62BF"/>
    <w:rsid w:val="006F64B2"/>
    <w:rsid w:val="006F64D4"/>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37D"/>
    <w:rsid w:val="00707988"/>
    <w:rsid w:val="007079DA"/>
    <w:rsid w:val="00707A8A"/>
    <w:rsid w:val="00707E37"/>
    <w:rsid w:val="0071023F"/>
    <w:rsid w:val="0071040D"/>
    <w:rsid w:val="00710717"/>
    <w:rsid w:val="00711156"/>
    <w:rsid w:val="0071152F"/>
    <w:rsid w:val="00711BA0"/>
    <w:rsid w:val="0071223C"/>
    <w:rsid w:val="007126F6"/>
    <w:rsid w:val="00712AD0"/>
    <w:rsid w:val="00713B3A"/>
    <w:rsid w:val="00714116"/>
    <w:rsid w:val="00714756"/>
    <w:rsid w:val="00714795"/>
    <w:rsid w:val="0071481D"/>
    <w:rsid w:val="00714C04"/>
    <w:rsid w:val="00714CBB"/>
    <w:rsid w:val="007154BC"/>
    <w:rsid w:val="007155D6"/>
    <w:rsid w:val="0071573B"/>
    <w:rsid w:val="00715BC2"/>
    <w:rsid w:val="00715BE4"/>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9C"/>
    <w:rsid w:val="007223F7"/>
    <w:rsid w:val="00722424"/>
    <w:rsid w:val="00722763"/>
    <w:rsid w:val="0072320E"/>
    <w:rsid w:val="0072329F"/>
    <w:rsid w:val="007237E2"/>
    <w:rsid w:val="00723EFF"/>
    <w:rsid w:val="0072451D"/>
    <w:rsid w:val="0072483C"/>
    <w:rsid w:val="00724AFF"/>
    <w:rsid w:val="00724F51"/>
    <w:rsid w:val="007252D9"/>
    <w:rsid w:val="00725731"/>
    <w:rsid w:val="0072580A"/>
    <w:rsid w:val="0072582D"/>
    <w:rsid w:val="007258B5"/>
    <w:rsid w:val="00725BB0"/>
    <w:rsid w:val="00725C2B"/>
    <w:rsid w:val="00725C96"/>
    <w:rsid w:val="00725DB3"/>
    <w:rsid w:val="00726F22"/>
    <w:rsid w:val="0072719E"/>
    <w:rsid w:val="00727902"/>
    <w:rsid w:val="00727DBF"/>
    <w:rsid w:val="00730512"/>
    <w:rsid w:val="00730654"/>
    <w:rsid w:val="007306BF"/>
    <w:rsid w:val="00731045"/>
    <w:rsid w:val="0073191D"/>
    <w:rsid w:val="007319F2"/>
    <w:rsid w:val="00731B52"/>
    <w:rsid w:val="00732BD2"/>
    <w:rsid w:val="00732DC0"/>
    <w:rsid w:val="00732E3A"/>
    <w:rsid w:val="00733161"/>
    <w:rsid w:val="007338EB"/>
    <w:rsid w:val="00733ED5"/>
    <w:rsid w:val="00734515"/>
    <w:rsid w:val="00734761"/>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2E4"/>
    <w:rsid w:val="00741343"/>
    <w:rsid w:val="0074158D"/>
    <w:rsid w:val="007417E8"/>
    <w:rsid w:val="00741936"/>
    <w:rsid w:val="00741B55"/>
    <w:rsid w:val="00741D34"/>
    <w:rsid w:val="00741DF9"/>
    <w:rsid w:val="0074271E"/>
    <w:rsid w:val="00743632"/>
    <w:rsid w:val="00743A1E"/>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EB2"/>
    <w:rsid w:val="007535C1"/>
    <w:rsid w:val="007537F5"/>
    <w:rsid w:val="00753922"/>
    <w:rsid w:val="00753A02"/>
    <w:rsid w:val="0075495B"/>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4F8"/>
    <w:rsid w:val="00760739"/>
    <w:rsid w:val="00760BFB"/>
    <w:rsid w:val="00761242"/>
    <w:rsid w:val="00761CE3"/>
    <w:rsid w:val="007621FF"/>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40"/>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C20"/>
    <w:rsid w:val="00773E03"/>
    <w:rsid w:val="007746E9"/>
    <w:rsid w:val="00774BDE"/>
    <w:rsid w:val="00774E4C"/>
    <w:rsid w:val="00774E7B"/>
    <w:rsid w:val="0077523F"/>
    <w:rsid w:val="007752BF"/>
    <w:rsid w:val="00775BF5"/>
    <w:rsid w:val="00776023"/>
    <w:rsid w:val="0077622E"/>
    <w:rsid w:val="00776343"/>
    <w:rsid w:val="00776E46"/>
    <w:rsid w:val="00776EA0"/>
    <w:rsid w:val="00776F9A"/>
    <w:rsid w:val="0077722C"/>
    <w:rsid w:val="007772A0"/>
    <w:rsid w:val="00777851"/>
    <w:rsid w:val="00777875"/>
    <w:rsid w:val="00777A71"/>
    <w:rsid w:val="00777F5A"/>
    <w:rsid w:val="0078005A"/>
    <w:rsid w:val="00780226"/>
    <w:rsid w:val="00780586"/>
    <w:rsid w:val="007805F1"/>
    <w:rsid w:val="0078097E"/>
    <w:rsid w:val="00780B6F"/>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6DC"/>
    <w:rsid w:val="00786805"/>
    <w:rsid w:val="007868AB"/>
    <w:rsid w:val="00786D04"/>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0AA"/>
    <w:rsid w:val="0079248E"/>
    <w:rsid w:val="00792515"/>
    <w:rsid w:val="00792649"/>
    <w:rsid w:val="00792796"/>
    <w:rsid w:val="00792CA1"/>
    <w:rsid w:val="00792D5C"/>
    <w:rsid w:val="00792F5F"/>
    <w:rsid w:val="0079388D"/>
    <w:rsid w:val="007938A7"/>
    <w:rsid w:val="007938E9"/>
    <w:rsid w:val="00793E60"/>
    <w:rsid w:val="00793EFD"/>
    <w:rsid w:val="00794486"/>
    <w:rsid w:val="00794A1B"/>
    <w:rsid w:val="00794AC4"/>
    <w:rsid w:val="00794DE0"/>
    <w:rsid w:val="007952FB"/>
    <w:rsid w:val="0079532E"/>
    <w:rsid w:val="00795863"/>
    <w:rsid w:val="00795930"/>
    <w:rsid w:val="00795E37"/>
    <w:rsid w:val="00796048"/>
    <w:rsid w:val="00796068"/>
    <w:rsid w:val="007960F4"/>
    <w:rsid w:val="00796430"/>
    <w:rsid w:val="00796C0C"/>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2DD"/>
    <w:rsid w:val="007A34F3"/>
    <w:rsid w:val="007A359C"/>
    <w:rsid w:val="007A35BE"/>
    <w:rsid w:val="007A3844"/>
    <w:rsid w:val="007A3A64"/>
    <w:rsid w:val="007A412D"/>
    <w:rsid w:val="007A4384"/>
    <w:rsid w:val="007A48F5"/>
    <w:rsid w:val="007A4CAD"/>
    <w:rsid w:val="007A4DA7"/>
    <w:rsid w:val="007A4F25"/>
    <w:rsid w:val="007A4F42"/>
    <w:rsid w:val="007A51AE"/>
    <w:rsid w:val="007A5321"/>
    <w:rsid w:val="007A5764"/>
    <w:rsid w:val="007A5A5B"/>
    <w:rsid w:val="007A5C9D"/>
    <w:rsid w:val="007A63FF"/>
    <w:rsid w:val="007A641A"/>
    <w:rsid w:val="007A64EA"/>
    <w:rsid w:val="007A67B6"/>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371"/>
    <w:rsid w:val="007B553E"/>
    <w:rsid w:val="007B5745"/>
    <w:rsid w:val="007B5B51"/>
    <w:rsid w:val="007B5BD7"/>
    <w:rsid w:val="007B5F38"/>
    <w:rsid w:val="007B623A"/>
    <w:rsid w:val="007B631B"/>
    <w:rsid w:val="007B660E"/>
    <w:rsid w:val="007B6725"/>
    <w:rsid w:val="007B694B"/>
    <w:rsid w:val="007B6982"/>
    <w:rsid w:val="007B6CF2"/>
    <w:rsid w:val="007B6E1F"/>
    <w:rsid w:val="007B6F54"/>
    <w:rsid w:val="007B7237"/>
    <w:rsid w:val="007B7693"/>
    <w:rsid w:val="007B7E60"/>
    <w:rsid w:val="007C0757"/>
    <w:rsid w:val="007C0CEF"/>
    <w:rsid w:val="007C11D5"/>
    <w:rsid w:val="007C1325"/>
    <w:rsid w:val="007C13D4"/>
    <w:rsid w:val="007C17AC"/>
    <w:rsid w:val="007C17B3"/>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21C"/>
    <w:rsid w:val="007D0395"/>
    <w:rsid w:val="007D061C"/>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1EA"/>
    <w:rsid w:val="007D52B6"/>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08"/>
    <w:rsid w:val="007E24F8"/>
    <w:rsid w:val="007E259E"/>
    <w:rsid w:val="007E2739"/>
    <w:rsid w:val="007E2916"/>
    <w:rsid w:val="007E2AF1"/>
    <w:rsid w:val="007E2CDC"/>
    <w:rsid w:val="007E2D0F"/>
    <w:rsid w:val="007E2DFF"/>
    <w:rsid w:val="007E2E73"/>
    <w:rsid w:val="007E3114"/>
    <w:rsid w:val="007E366F"/>
    <w:rsid w:val="007E3A12"/>
    <w:rsid w:val="007E3BE4"/>
    <w:rsid w:val="007E3C7C"/>
    <w:rsid w:val="007E3D3A"/>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9C6"/>
    <w:rsid w:val="007F0A76"/>
    <w:rsid w:val="007F0D3A"/>
    <w:rsid w:val="007F1730"/>
    <w:rsid w:val="007F1AB9"/>
    <w:rsid w:val="007F1D3F"/>
    <w:rsid w:val="007F26F5"/>
    <w:rsid w:val="007F29C3"/>
    <w:rsid w:val="007F2B3B"/>
    <w:rsid w:val="007F2F75"/>
    <w:rsid w:val="007F3179"/>
    <w:rsid w:val="007F340E"/>
    <w:rsid w:val="007F347B"/>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EE6"/>
    <w:rsid w:val="0080002A"/>
    <w:rsid w:val="00800116"/>
    <w:rsid w:val="008002BD"/>
    <w:rsid w:val="008003D9"/>
    <w:rsid w:val="00800AA6"/>
    <w:rsid w:val="00800F86"/>
    <w:rsid w:val="008012CE"/>
    <w:rsid w:val="008013F5"/>
    <w:rsid w:val="0080168E"/>
    <w:rsid w:val="008016F4"/>
    <w:rsid w:val="00801F57"/>
    <w:rsid w:val="00801FF5"/>
    <w:rsid w:val="00802680"/>
    <w:rsid w:val="00802721"/>
    <w:rsid w:val="00802D4E"/>
    <w:rsid w:val="00802E65"/>
    <w:rsid w:val="008030BF"/>
    <w:rsid w:val="00803B97"/>
    <w:rsid w:val="00803E65"/>
    <w:rsid w:val="008046C1"/>
    <w:rsid w:val="008049B7"/>
    <w:rsid w:val="00805091"/>
    <w:rsid w:val="008050F5"/>
    <w:rsid w:val="00805148"/>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9F2"/>
    <w:rsid w:val="00813BC9"/>
    <w:rsid w:val="00813C14"/>
    <w:rsid w:val="00814475"/>
    <w:rsid w:val="00814CC4"/>
    <w:rsid w:val="008153CC"/>
    <w:rsid w:val="0081542F"/>
    <w:rsid w:val="00815580"/>
    <w:rsid w:val="008155C9"/>
    <w:rsid w:val="0081578C"/>
    <w:rsid w:val="00815969"/>
    <w:rsid w:val="008159E7"/>
    <w:rsid w:val="00815BEF"/>
    <w:rsid w:val="00815D3D"/>
    <w:rsid w:val="00815DC2"/>
    <w:rsid w:val="008161B5"/>
    <w:rsid w:val="008165C8"/>
    <w:rsid w:val="00817662"/>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AAA"/>
    <w:rsid w:val="00825F97"/>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F86"/>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934"/>
    <w:rsid w:val="00835A5C"/>
    <w:rsid w:val="00835C34"/>
    <w:rsid w:val="00835CD9"/>
    <w:rsid w:val="0083689F"/>
    <w:rsid w:val="00836921"/>
    <w:rsid w:val="0083779B"/>
    <w:rsid w:val="00837AD5"/>
    <w:rsid w:val="00837ADF"/>
    <w:rsid w:val="00837CF4"/>
    <w:rsid w:val="008404B0"/>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96C"/>
    <w:rsid w:val="00845DBB"/>
    <w:rsid w:val="00845F74"/>
    <w:rsid w:val="00846168"/>
    <w:rsid w:val="008463A3"/>
    <w:rsid w:val="008469EA"/>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6B7"/>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B09"/>
    <w:rsid w:val="00860E87"/>
    <w:rsid w:val="0086263E"/>
    <w:rsid w:val="008629E3"/>
    <w:rsid w:val="00862BB0"/>
    <w:rsid w:val="00862DEB"/>
    <w:rsid w:val="00862E43"/>
    <w:rsid w:val="00862E8C"/>
    <w:rsid w:val="00863069"/>
    <w:rsid w:val="0086369C"/>
    <w:rsid w:val="00863E27"/>
    <w:rsid w:val="00864152"/>
    <w:rsid w:val="00864218"/>
    <w:rsid w:val="00864222"/>
    <w:rsid w:val="008643E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722"/>
    <w:rsid w:val="00886890"/>
    <w:rsid w:val="00886B2E"/>
    <w:rsid w:val="00886EC4"/>
    <w:rsid w:val="008872F0"/>
    <w:rsid w:val="00887853"/>
    <w:rsid w:val="00887EB1"/>
    <w:rsid w:val="0089015C"/>
    <w:rsid w:val="00890229"/>
    <w:rsid w:val="0089023B"/>
    <w:rsid w:val="008902AE"/>
    <w:rsid w:val="00890344"/>
    <w:rsid w:val="00890400"/>
    <w:rsid w:val="008904A4"/>
    <w:rsid w:val="008904F0"/>
    <w:rsid w:val="00890599"/>
    <w:rsid w:val="008906A2"/>
    <w:rsid w:val="00890C72"/>
    <w:rsid w:val="00890ED4"/>
    <w:rsid w:val="00891070"/>
    <w:rsid w:val="008914A8"/>
    <w:rsid w:val="00891592"/>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B75"/>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8C3"/>
    <w:rsid w:val="008A3909"/>
    <w:rsid w:val="008A3CAB"/>
    <w:rsid w:val="008A3D55"/>
    <w:rsid w:val="008A3E40"/>
    <w:rsid w:val="008A3FBE"/>
    <w:rsid w:val="008A3FC7"/>
    <w:rsid w:val="008A42A1"/>
    <w:rsid w:val="008A45C9"/>
    <w:rsid w:val="008A4B0E"/>
    <w:rsid w:val="008A4B18"/>
    <w:rsid w:val="008A4B56"/>
    <w:rsid w:val="008A4CF3"/>
    <w:rsid w:val="008A5128"/>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4A7"/>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7A7"/>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2B1F"/>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6CDA"/>
    <w:rsid w:val="008C7599"/>
    <w:rsid w:val="008C7AD0"/>
    <w:rsid w:val="008C7B59"/>
    <w:rsid w:val="008D0765"/>
    <w:rsid w:val="008D0CA8"/>
    <w:rsid w:val="008D0FFE"/>
    <w:rsid w:val="008D1659"/>
    <w:rsid w:val="008D2074"/>
    <w:rsid w:val="008D2318"/>
    <w:rsid w:val="008D299E"/>
    <w:rsid w:val="008D2AAF"/>
    <w:rsid w:val="008D2CFD"/>
    <w:rsid w:val="008D2DD2"/>
    <w:rsid w:val="008D2F27"/>
    <w:rsid w:val="008D3919"/>
    <w:rsid w:val="008D3B5A"/>
    <w:rsid w:val="008D3BDC"/>
    <w:rsid w:val="008D40B0"/>
    <w:rsid w:val="008D432F"/>
    <w:rsid w:val="008D4355"/>
    <w:rsid w:val="008D4B5A"/>
    <w:rsid w:val="008D4C31"/>
    <w:rsid w:val="008D5190"/>
    <w:rsid w:val="008D562C"/>
    <w:rsid w:val="008D56D5"/>
    <w:rsid w:val="008D577C"/>
    <w:rsid w:val="008D5957"/>
    <w:rsid w:val="008D59F4"/>
    <w:rsid w:val="008D60F2"/>
    <w:rsid w:val="008D6150"/>
    <w:rsid w:val="008D617E"/>
    <w:rsid w:val="008D660D"/>
    <w:rsid w:val="008D67A2"/>
    <w:rsid w:val="008D7107"/>
    <w:rsid w:val="008D7510"/>
    <w:rsid w:val="008D7519"/>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0C7"/>
    <w:rsid w:val="008E3392"/>
    <w:rsid w:val="008E33A7"/>
    <w:rsid w:val="008E3416"/>
    <w:rsid w:val="008E34AB"/>
    <w:rsid w:val="008E3B6C"/>
    <w:rsid w:val="008E3F8A"/>
    <w:rsid w:val="008E405F"/>
    <w:rsid w:val="008E43A3"/>
    <w:rsid w:val="008E4C42"/>
    <w:rsid w:val="008E5132"/>
    <w:rsid w:val="008E5387"/>
    <w:rsid w:val="008E5555"/>
    <w:rsid w:val="008E57D5"/>
    <w:rsid w:val="008E58AB"/>
    <w:rsid w:val="008E5B88"/>
    <w:rsid w:val="008E61AE"/>
    <w:rsid w:val="008E6446"/>
    <w:rsid w:val="008E650E"/>
    <w:rsid w:val="008E663D"/>
    <w:rsid w:val="008E66CD"/>
    <w:rsid w:val="008E6A80"/>
    <w:rsid w:val="008E6C47"/>
    <w:rsid w:val="008E731E"/>
    <w:rsid w:val="008E788D"/>
    <w:rsid w:val="008E78F7"/>
    <w:rsid w:val="008E793E"/>
    <w:rsid w:val="008E7AFA"/>
    <w:rsid w:val="008E7CD9"/>
    <w:rsid w:val="008E7D85"/>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DA1"/>
    <w:rsid w:val="008F6FBE"/>
    <w:rsid w:val="008F707A"/>
    <w:rsid w:val="008F7220"/>
    <w:rsid w:val="008F76CD"/>
    <w:rsid w:val="00900484"/>
    <w:rsid w:val="00900C9A"/>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1DB"/>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29E"/>
    <w:rsid w:val="00921586"/>
    <w:rsid w:val="0092176B"/>
    <w:rsid w:val="00921A7B"/>
    <w:rsid w:val="00921EAA"/>
    <w:rsid w:val="0092205F"/>
    <w:rsid w:val="009221C8"/>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509"/>
    <w:rsid w:val="00931768"/>
    <w:rsid w:val="00931B6C"/>
    <w:rsid w:val="00931CD9"/>
    <w:rsid w:val="009320F8"/>
    <w:rsid w:val="00932142"/>
    <w:rsid w:val="009324BE"/>
    <w:rsid w:val="00932956"/>
    <w:rsid w:val="009329B3"/>
    <w:rsid w:val="00932BCD"/>
    <w:rsid w:val="0093301D"/>
    <w:rsid w:val="00933937"/>
    <w:rsid w:val="00933F76"/>
    <w:rsid w:val="009348B5"/>
    <w:rsid w:val="009349AA"/>
    <w:rsid w:val="00934AF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A95"/>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85E"/>
    <w:rsid w:val="00951AC5"/>
    <w:rsid w:val="00951BB1"/>
    <w:rsid w:val="00952269"/>
    <w:rsid w:val="00952618"/>
    <w:rsid w:val="00952779"/>
    <w:rsid w:val="00952840"/>
    <w:rsid w:val="00952B2A"/>
    <w:rsid w:val="00952C53"/>
    <w:rsid w:val="00952D61"/>
    <w:rsid w:val="00952D65"/>
    <w:rsid w:val="009535D8"/>
    <w:rsid w:val="00953632"/>
    <w:rsid w:val="009536F0"/>
    <w:rsid w:val="009539EA"/>
    <w:rsid w:val="00953B40"/>
    <w:rsid w:val="00953FC9"/>
    <w:rsid w:val="0095420A"/>
    <w:rsid w:val="009542CA"/>
    <w:rsid w:val="0095439B"/>
    <w:rsid w:val="00954495"/>
    <w:rsid w:val="0095505E"/>
    <w:rsid w:val="00955175"/>
    <w:rsid w:val="0095631A"/>
    <w:rsid w:val="009563E0"/>
    <w:rsid w:val="009568D5"/>
    <w:rsid w:val="00956A85"/>
    <w:rsid w:val="00956FDD"/>
    <w:rsid w:val="00957036"/>
    <w:rsid w:val="00957046"/>
    <w:rsid w:val="0096038C"/>
    <w:rsid w:val="00960B82"/>
    <w:rsid w:val="00960B85"/>
    <w:rsid w:val="00961110"/>
    <w:rsid w:val="00961607"/>
    <w:rsid w:val="009619ED"/>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58"/>
    <w:rsid w:val="0097006C"/>
    <w:rsid w:val="00970847"/>
    <w:rsid w:val="009708F6"/>
    <w:rsid w:val="0097117D"/>
    <w:rsid w:val="009712C2"/>
    <w:rsid w:val="0097130E"/>
    <w:rsid w:val="0097141D"/>
    <w:rsid w:val="0097181C"/>
    <w:rsid w:val="00971CD9"/>
    <w:rsid w:val="00971E17"/>
    <w:rsid w:val="00971EBE"/>
    <w:rsid w:val="0097237D"/>
    <w:rsid w:val="009726E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AE5"/>
    <w:rsid w:val="00976B6A"/>
    <w:rsid w:val="00976D3E"/>
    <w:rsid w:val="00976EDB"/>
    <w:rsid w:val="009773E4"/>
    <w:rsid w:val="009775C8"/>
    <w:rsid w:val="009775CD"/>
    <w:rsid w:val="00977BF8"/>
    <w:rsid w:val="0098032B"/>
    <w:rsid w:val="0098056F"/>
    <w:rsid w:val="0098124C"/>
    <w:rsid w:val="0098140C"/>
    <w:rsid w:val="00981A77"/>
    <w:rsid w:val="00981C78"/>
    <w:rsid w:val="00981D28"/>
    <w:rsid w:val="00981E3A"/>
    <w:rsid w:val="00982332"/>
    <w:rsid w:val="00982AAC"/>
    <w:rsid w:val="00982CDD"/>
    <w:rsid w:val="00982F26"/>
    <w:rsid w:val="00982F5D"/>
    <w:rsid w:val="00983096"/>
    <w:rsid w:val="009833BE"/>
    <w:rsid w:val="00983699"/>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0F62"/>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AAD"/>
    <w:rsid w:val="00994B5F"/>
    <w:rsid w:val="00994EC2"/>
    <w:rsid w:val="00995197"/>
    <w:rsid w:val="00995243"/>
    <w:rsid w:val="0099535B"/>
    <w:rsid w:val="0099536D"/>
    <w:rsid w:val="00995621"/>
    <w:rsid w:val="009959C0"/>
    <w:rsid w:val="009959E3"/>
    <w:rsid w:val="00996074"/>
    <w:rsid w:val="00996124"/>
    <w:rsid w:val="00996612"/>
    <w:rsid w:val="00996672"/>
    <w:rsid w:val="009968CC"/>
    <w:rsid w:val="0099718C"/>
    <w:rsid w:val="00997384"/>
    <w:rsid w:val="00997925"/>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D91"/>
    <w:rsid w:val="009A5EFE"/>
    <w:rsid w:val="009A6DD5"/>
    <w:rsid w:val="009A70A4"/>
    <w:rsid w:val="009A7173"/>
    <w:rsid w:val="009A72B3"/>
    <w:rsid w:val="009A74E8"/>
    <w:rsid w:val="009A7506"/>
    <w:rsid w:val="009A77C4"/>
    <w:rsid w:val="009A78C2"/>
    <w:rsid w:val="009A7C10"/>
    <w:rsid w:val="009B0455"/>
    <w:rsid w:val="009B06EB"/>
    <w:rsid w:val="009B080D"/>
    <w:rsid w:val="009B0DBB"/>
    <w:rsid w:val="009B14CE"/>
    <w:rsid w:val="009B169A"/>
    <w:rsid w:val="009B16B8"/>
    <w:rsid w:val="009B19F3"/>
    <w:rsid w:val="009B1B02"/>
    <w:rsid w:val="009B1B2A"/>
    <w:rsid w:val="009B1EB0"/>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864"/>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D44"/>
    <w:rsid w:val="009D0E25"/>
    <w:rsid w:val="009D0E2E"/>
    <w:rsid w:val="009D1138"/>
    <w:rsid w:val="009D12DD"/>
    <w:rsid w:val="009D148E"/>
    <w:rsid w:val="009D1583"/>
    <w:rsid w:val="009D16C2"/>
    <w:rsid w:val="009D17EC"/>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0C"/>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2D"/>
    <w:rsid w:val="009E4A7F"/>
    <w:rsid w:val="009E4C78"/>
    <w:rsid w:val="009E56C8"/>
    <w:rsid w:val="009E5C2B"/>
    <w:rsid w:val="009E61C4"/>
    <w:rsid w:val="009E645B"/>
    <w:rsid w:val="009E68DC"/>
    <w:rsid w:val="009E6ADE"/>
    <w:rsid w:val="009E7066"/>
    <w:rsid w:val="009E7430"/>
    <w:rsid w:val="009E7552"/>
    <w:rsid w:val="009E7C06"/>
    <w:rsid w:val="009E7CFB"/>
    <w:rsid w:val="009E7D6A"/>
    <w:rsid w:val="009E7F90"/>
    <w:rsid w:val="009F032C"/>
    <w:rsid w:val="009F040B"/>
    <w:rsid w:val="009F0767"/>
    <w:rsid w:val="009F0F41"/>
    <w:rsid w:val="009F11B7"/>
    <w:rsid w:val="009F1489"/>
    <w:rsid w:val="009F17AC"/>
    <w:rsid w:val="009F1AE1"/>
    <w:rsid w:val="009F1AF6"/>
    <w:rsid w:val="009F1CB5"/>
    <w:rsid w:val="009F2051"/>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C28"/>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14D"/>
    <w:rsid w:val="00A14960"/>
    <w:rsid w:val="00A14CF0"/>
    <w:rsid w:val="00A14EC9"/>
    <w:rsid w:val="00A14F6B"/>
    <w:rsid w:val="00A153CA"/>
    <w:rsid w:val="00A159C5"/>
    <w:rsid w:val="00A15B3A"/>
    <w:rsid w:val="00A15BC4"/>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81C"/>
    <w:rsid w:val="00A239A3"/>
    <w:rsid w:val="00A23FF1"/>
    <w:rsid w:val="00A241CC"/>
    <w:rsid w:val="00A24990"/>
    <w:rsid w:val="00A24F3D"/>
    <w:rsid w:val="00A2581A"/>
    <w:rsid w:val="00A25C37"/>
    <w:rsid w:val="00A25E63"/>
    <w:rsid w:val="00A26019"/>
    <w:rsid w:val="00A26110"/>
    <w:rsid w:val="00A261D4"/>
    <w:rsid w:val="00A26220"/>
    <w:rsid w:val="00A26247"/>
    <w:rsid w:val="00A262CD"/>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6FB"/>
    <w:rsid w:val="00A32DCB"/>
    <w:rsid w:val="00A3334E"/>
    <w:rsid w:val="00A33449"/>
    <w:rsid w:val="00A33525"/>
    <w:rsid w:val="00A336CD"/>
    <w:rsid w:val="00A3387F"/>
    <w:rsid w:val="00A33C2A"/>
    <w:rsid w:val="00A33C81"/>
    <w:rsid w:val="00A33E67"/>
    <w:rsid w:val="00A341A7"/>
    <w:rsid w:val="00A342F5"/>
    <w:rsid w:val="00A343E2"/>
    <w:rsid w:val="00A34525"/>
    <w:rsid w:val="00A34537"/>
    <w:rsid w:val="00A349E1"/>
    <w:rsid w:val="00A34D86"/>
    <w:rsid w:val="00A3508B"/>
    <w:rsid w:val="00A35952"/>
    <w:rsid w:val="00A35C51"/>
    <w:rsid w:val="00A35D19"/>
    <w:rsid w:val="00A36158"/>
    <w:rsid w:val="00A36682"/>
    <w:rsid w:val="00A36C9B"/>
    <w:rsid w:val="00A36D18"/>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28B2"/>
    <w:rsid w:val="00A43009"/>
    <w:rsid w:val="00A4312D"/>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6B2E"/>
    <w:rsid w:val="00A4706E"/>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B83"/>
    <w:rsid w:val="00A51CE0"/>
    <w:rsid w:val="00A52550"/>
    <w:rsid w:val="00A52851"/>
    <w:rsid w:val="00A52A92"/>
    <w:rsid w:val="00A52E22"/>
    <w:rsid w:val="00A52EB2"/>
    <w:rsid w:val="00A5304B"/>
    <w:rsid w:val="00A53663"/>
    <w:rsid w:val="00A5386D"/>
    <w:rsid w:val="00A53B90"/>
    <w:rsid w:val="00A53E70"/>
    <w:rsid w:val="00A53EB9"/>
    <w:rsid w:val="00A5402B"/>
    <w:rsid w:val="00A541BA"/>
    <w:rsid w:val="00A5469D"/>
    <w:rsid w:val="00A54825"/>
    <w:rsid w:val="00A5489D"/>
    <w:rsid w:val="00A55689"/>
    <w:rsid w:val="00A55C5D"/>
    <w:rsid w:val="00A56077"/>
    <w:rsid w:val="00A5609B"/>
    <w:rsid w:val="00A56459"/>
    <w:rsid w:val="00A56978"/>
    <w:rsid w:val="00A56BC5"/>
    <w:rsid w:val="00A57155"/>
    <w:rsid w:val="00A57823"/>
    <w:rsid w:val="00A57A3F"/>
    <w:rsid w:val="00A57A5D"/>
    <w:rsid w:val="00A60091"/>
    <w:rsid w:val="00A60114"/>
    <w:rsid w:val="00A602B0"/>
    <w:rsid w:val="00A6061B"/>
    <w:rsid w:val="00A608A0"/>
    <w:rsid w:val="00A608DB"/>
    <w:rsid w:val="00A60CA6"/>
    <w:rsid w:val="00A60DAB"/>
    <w:rsid w:val="00A61047"/>
    <w:rsid w:val="00A6126D"/>
    <w:rsid w:val="00A62A47"/>
    <w:rsid w:val="00A63C9A"/>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67"/>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971"/>
    <w:rsid w:val="00A73F45"/>
    <w:rsid w:val="00A7428A"/>
    <w:rsid w:val="00A742A4"/>
    <w:rsid w:val="00A74A44"/>
    <w:rsid w:val="00A74E07"/>
    <w:rsid w:val="00A74F88"/>
    <w:rsid w:val="00A75142"/>
    <w:rsid w:val="00A75497"/>
    <w:rsid w:val="00A7557F"/>
    <w:rsid w:val="00A755CB"/>
    <w:rsid w:val="00A7576C"/>
    <w:rsid w:val="00A7580A"/>
    <w:rsid w:val="00A75894"/>
    <w:rsid w:val="00A760CC"/>
    <w:rsid w:val="00A761DB"/>
    <w:rsid w:val="00A762D3"/>
    <w:rsid w:val="00A76409"/>
    <w:rsid w:val="00A76598"/>
    <w:rsid w:val="00A7660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CAC"/>
    <w:rsid w:val="00A83FA6"/>
    <w:rsid w:val="00A842E1"/>
    <w:rsid w:val="00A845A3"/>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2CEE"/>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6C9"/>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59A"/>
    <w:rsid w:val="00AA57DB"/>
    <w:rsid w:val="00AA587C"/>
    <w:rsid w:val="00AA59B8"/>
    <w:rsid w:val="00AA5DBA"/>
    <w:rsid w:val="00AA5FFC"/>
    <w:rsid w:val="00AA607F"/>
    <w:rsid w:val="00AA6279"/>
    <w:rsid w:val="00AA6782"/>
    <w:rsid w:val="00AA6790"/>
    <w:rsid w:val="00AA6E60"/>
    <w:rsid w:val="00AA6F60"/>
    <w:rsid w:val="00AA76A3"/>
    <w:rsid w:val="00AA77C4"/>
    <w:rsid w:val="00AB020B"/>
    <w:rsid w:val="00AB0896"/>
    <w:rsid w:val="00AB08D5"/>
    <w:rsid w:val="00AB09EF"/>
    <w:rsid w:val="00AB0A53"/>
    <w:rsid w:val="00AB0E49"/>
    <w:rsid w:val="00AB0EB8"/>
    <w:rsid w:val="00AB1372"/>
    <w:rsid w:val="00AB19A0"/>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971"/>
    <w:rsid w:val="00AB5BE2"/>
    <w:rsid w:val="00AB5CF6"/>
    <w:rsid w:val="00AB5DA0"/>
    <w:rsid w:val="00AB6532"/>
    <w:rsid w:val="00AB6906"/>
    <w:rsid w:val="00AB6CA6"/>
    <w:rsid w:val="00AB6DD4"/>
    <w:rsid w:val="00AB7171"/>
    <w:rsid w:val="00AB747C"/>
    <w:rsid w:val="00AB7A1B"/>
    <w:rsid w:val="00AB7A97"/>
    <w:rsid w:val="00AB7CA6"/>
    <w:rsid w:val="00AC0174"/>
    <w:rsid w:val="00AC05CD"/>
    <w:rsid w:val="00AC1CC5"/>
    <w:rsid w:val="00AC21F6"/>
    <w:rsid w:val="00AC24F8"/>
    <w:rsid w:val="00AC26A5"/>
    <w:rsid w:val="00AC2BD6"/>
    <w:rsid w:val="00AC2C2B"/>
    <w:rsid w:val="00AC2EA3"/>
    <w:rsid w:val="00AC3098"/>
    <w:rsid w:val="00AC36F1"/>
    <w:rsid w:val="00AC3964"/>
    <w:rsid w:val="00AC3CCF"/>
    <w:rsid w:val="00AC3EA5"/>
    <w:rsid w:val="00AC421A"/>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1D83"/>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38"/>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3C"/>
    <w:rsid w:val="00AE505D"/>
    <w:rsid w:val="00AE50E5"/>
    <w:rsid w:val="00AE5529"/>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1BAD"/>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5FFA"/>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1F"/>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834"/>
    <w:rsid w:val="00B3097A"/>
    <w:rsid w:val="00B30A55"/>
    <w:rsid w:val="00B30AA6"/>
    <w:rsid w:val="00B3105D"/>
    <w:rsid w:val="00B3147A"/>
    <w:rsid w:val="00B327DF"/>
    <w:rsid w:val="00B32B46"/>
    <w:rsid w:val="00B3368F"/>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E74"/>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2F61"/>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28C"/>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3FA5"/>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401"/>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7E8"/>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87C7D"/>
    <w:rsid w:val="00B902C2"/>
    <w:rsid w:val="00B906E0"/>
    <w:rsid w:val="00B909DD"/>
    <w:rsid w:val="00B90DC2"/>
    <w:rsid w:val="00B91A53"/>
    <w:rsid w:val="00B91EB5"/>
    <w:rsid w:val="00B9212C"/>
    <w:rsid w:val="00B92313"/>
    <w:rsid w:val="00B92DDD"/>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B6E"/>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3850"/>
    <w:rsid w:val="00BA3A1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233"/>
    <w:rsid w:val="00BA64C8"/>
    <w:rsid w:val="00BA66D0"/>
    <w:rsid w:val="00BA6CC6"/>
    <w:rsid w:val="00BA6DBF"/>
    <w:rsid w:val="00BA70C5"/>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00"/>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2C64"/>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762"/>
    <w:rsid w:val="00BC7930"/>
    <w:rsid w:val="00BC7ABB"/>
    <w:rsid w:val="00BC7BE2"/>
    <w:rsid w:val="00BC7E61"/>
    <w:rsid w:val="00BD04DD"/>
    <w:rsid w:val="00BD0DC4"/>
    <w:rsid w:val="00BD1552"/>
    <w:rsid w:val="00BD1767"/>
    <w:rsid w:val="00BD187C"/>
    <w:rsid w:val="00BD190F"/>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64"/>
    <w:rsid w:val="00BF0FC2"/>
    <w:rsid w:val="00BF1A9E"/>
    <w:rsid w:val="00BF1B39"/>
    <w:rsid w:val="00BF1DC1"/>
    <w:rsid w:val="00BF24C2"/>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5CA"/>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7D8"/>
    <w:rsid w:val="00C12ABC"/>
    <w:rsid w:val="00C12FA7"/>
    <w:rsid w:val="00C133B0"/>
    <w:rsid w:val="00C133EF"/>
    <w:rsid w:val="00C134F4"/>
    <w:rsid w:val="00C1355C"/>
    <w:rsid w:val="00C136F7"/>
    <w:rsid w:val="00C137C2"/>
    <w:rsid w:val="00C13ACE"/>
    <w:rsid w:val="00C13DAB"/>
    <w:rsid w:val="00C13E9E"/>
    <w:rsid w:val="00C14010"/>
    <w:rsid w:val="00C14071"/>
    <w:rsid w:val="00C143AE"/>
    <w:rsid w:val="00C14519"/>
    <w:rsid w:val="00C149AF"/>
    <w:rsid w:val="00C1501E"/>
    <w:rsid w:val="00C1549F"/>
    <w:rsid w:val="00C156FF"/>
    <w:rsid w:val="00C15C69"/>
    <w:rsid w:val="00C15D33"/>
    <w:rsid w:val="00C15E32"/>
    <w:rsid w:val="00C15F3C"/>
    <w:rsid w:val="00C16459"/>
    <w:rsid w:val="00C1674D"/>
    <w:rsid w:val="00C16AF9"/>
    <w:rsid w:val="00C16D5E"/>
    <w:rsid w:val="00C17660"/>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EB9"/>
    <w:rsid w:val="00C3330B"/>
    <w:rsid w:val="00C334DA"/>
    <w:rsid w:val="00C33534"/>
    <w:rsid w:val="00C33852"/>
    <w:rsid w:val="00C33878"/>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3A1"/>
    <w:rsid w:val="00C40448"/>
    <w:rsid w:val="00C405C9"/>
    <w:rsid w:val="00C405DB"/>
    <w:rsid w:val="00C4067B"/>
    <w:rsid w:val="00C40969"/>
    <w:rsid w:val="00C40D98"/>
    <w:rsid w:val="00C417E2"/>
    <w:rsid w:val="00C4185B"/>
    <w:rsid w:val="00C41B0A"/>
    <w:rsid w:val="00C42341"/>
    <w:rsid w:val="00C42423"/>
    <w:rsid w:val="00C42696"/>
    <w:rsid w:val="00C42854"/>
    <w:rsid w:val="00C42962"/>
    <w:rsid w:val="00C42B24"/>
    <w:rsid w:val="00C4307B"/>
    <w:rsid w:val="00C4371A"/>
    <w:rsid w:val="00C43A45"/>
    <w:rsid w:val="00C43DAD"/>
    <w:rsid w:val="00C43F60"/>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778"/>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E0C"/>
    <w:rsid w:val="00C55FBB"/>
    <w:rsid w:val="00C56974"/>
    <w:rsid w:val="00C5697F"/>
    <w:rsid w:val="00C56A8D"/>
    <w:rsid w:val="00C56B5D"/>
    <w:rsid w:val="00C56CE3"/>
    <w:rsid w:val="00C56E02"/>
    <w:rsid w:val="00C5790A"/>
    <w:rsid w:val="00C6002E"/>
    <w:rsid w:val="00C6027D"/>
    <w:rsid w:val="00C60327"/>
    <w:rsid w:val="00C6077A"/>
    <w:rsid w:val="00C61195"/>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5EFC"/>
    <w:rsid w:val="00C662C3"/>
    <w:rsid w:val="00C663A9"/>
    <w:rsid w:val="00C66B3F"/>
    <w:rsid w:val="00C67182"/>
    <w:rsid w:val="00C674B1"/>
    <w:rsid w:val="00C708B2"/>
    <w:rsid w:val="00C70AF7"/>
    <w:rsid w:val="00C70E5D"/>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0E4D"/>
    <w:rsid w:val="00C813B1"/>
    <w:rsid w:val="00C814DB"/>
    <w:rsid w:val="00C81547"/>
    <w:rsid w:val="00C815DA"/>
    <w:rsid w:val="00C81BD9"/>
    <w:rsid w:val="00C82036"/>
    <w:rsid w:val="00C822E0"/>
    <w:rsid w:val="00C82D6A"/>
    <w:rsid w:val="00C82E3E"/>
    <w:rsid w:val="00C83490"/>
    <w:rsid w:val="00C835BC"/>
    <w:rsid w:val="00C835FF"/>
    <w:rsid w:val="00C83620"/>
    <w:rsid w:val="00C83841"/>
    <w:rsid w:val="00C83853"/>
    <w:rsid w:val="00C83AC3"/>
    <w:rsid w:val="00C83D33"/>
    <w:rsid w:val="00C83F89"/>
    <w:rsid w:val="00C84163"/>
    <w:rsid w:val="00C84403"/>
    <w:rsid w:val="00C84F37"/>
    <w:rsid w:val="00C85020"/>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0EA5"/>
    <w:rsid w:val="00C91365"/>
    <w:rsid w:val="00C917F4"/>
    <w:rsid w:val="00C91A42"/>
    <w:rsid w:val="00C91D07"/>
    <w:rsid w:val="00C927BF"/>
    <w:rsid w:val="00C92B91"/>
    <w:rsid w:val="00C92ECA"/>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139"/>
    <w:rsid w:val="00CA1479"/>
    <w:rsid w:val="00CA1880"/>
    <w:rsid w:val="00CA1B12"/>
    <w:rsid w:val="00CA1D51"/>
    <w:rsid w:val="00CA21E2"/>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B"/>
    <w:rsid w:val="00CA759E"/>
    <w:rsid w:val="00CA78EA"/>
    <w:rsid w:val="00CA7BB3"/>
    <w:rsid w:val="00CA7C71"/>
    <w:rsid w:val="00CA7E77"/>
    <w:rsid w:val="00CA7FF5"/>
    <w:rsid w:val="00CB01FA"/>
    <w:rsid w:val="00CB0503"/>
    <w:rsid w:val="00CB06DA"/>
    <w:rsid w:val="00CB0ABC"/>
    <w:rsid w:val="00CB134A"/>
    <w:rsid w:val="00CB13E5"/>
    <w:rsid w:val="00CB19F6"/>
    <w:rsid w:val="00CB1C8B"/>
    <w:rsid w:val="00CB28E9"/>
    <w:rsid w:val="00CB2CB0"/>
    <w:rsid w:val="00CB30C8"/>
    <w:rsid w:val="00CB31E3"/>
    <w:rsid w:val="00CB3240"/>
    <w:rsid w:val="00CB34B7"/>
    <w:rsid w:val="00CB3A6E"/>
    <w:rsid w:val="00CB4196"/>
    <w:rsid w:val="00CB42ED"/>
    <w:rsid w:val="00CB4607"/>
    <w:rsid w:val="00CB4665"/>
    <w:rsid w:val="00CB4C26"/>
    <w:rsid w:val="00CB4F73"/>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B22"/>
    <w:rsid w:val="00CB7CC4"/>
    <w:rsid w:val="00CC027F"/>
    <w:rsid w:val="00CC0731"/>
    <w:rsid w:val="00CC10BF"/>
    <w:rsid w:val="00CC1551"/>
    <w:rsid w:val="00CC1AE3"/>
    <w:rsid w:val="00CC1DD4"/>
    <w:rsid w:val="00CC1EE6"/>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FDD"/>
    <w:rsid w:val="00CD104D"/>
    <w:rsid w:val="00CD11F6"/>
    <w:rsid w:val="00CD15C3"/>
    <w:rsid w:val="00CD1B7C"/>
    <w:rsid w:val="00CD1D03"/>
    <w:rsid w:val="00CD2151"/>
    <w:rsid w:val="00CD222C"/>
    <w:rsid w:val="00CD2462"/>
    <w:rsid w:val="00CD24B3"/>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5C4"/>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C6A"/>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6DA0"/>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97C"/>
    <w:rsid w:val="00D07A1E"/>
    <w:rsid w:val="00D07C41"/>
    <w:rsid w:val="00D07FB5"/>
    <w:rsid w:val="00D10838"/>
    <w:rsid w:val="00D1099F"/>
    <w:rsid w:val="00D11055"/>
    <w:rsid w:val="00D110DF"/>
    <w:rsid w:val="00D110F3"/>
    <w:rsid w:val="00D11A6F"/>
    <w:rsid w:val="00D11D9E"/>
    <w:rsid w:val="00D12353"/>
    <w:rsid w:val="00D12946"/>
    <w:rsid w:val="00D12E05"/>
    <w:rsid w:val="00D12F77"/>
    <w:rsid w:val="00D1328B"/>
    <w:rsid w:val="00D13B14"/>
    <w:rsid w:val="00D13F69"/>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E4A"/>
    <w:rsid w:val="00D15FE7"/>
    <w:rsid w:val="00D16207"/>
    <w:rsid w:val="00D165FF"/>
    <w:rsid w:val="00D16C40"/>
    <w:rsid w:val="00D16ED1"/>
    <w:rsid w:val="00D1726A"/>
    <w:rsid w:val="00D17328"/>
    <w:rsid w:val="00D174EE"/>
    <w:rsid w:val="00D177DF"/>
    <w:rsid w:val="00D2009A"/>
    <w:rsid w:val="00D2049D"/>
    <w:rsid w:val="00D20544"/>
    <w:rsid w:val="00D20C97"/>
    <w:rsid w:val="00D20D44"/>
    <w:rsid w:val="00D2134C"/>
    <w:rsid w:val="00D21636"/>
    <w:rsid w:val="00D2178A"/>
    <w:rsid w:val="00D21BAF"/>
    <w:rsid w:val="00D22EB3"/>
    <w:rsid w:val="00D230D8"/>
    <w:rsid w:val="00D23212"/>
    <w:rsid w:val="00D23331"/>
    <w:rsid w:val="00D2344F"/>
    <w:rsid w:val="00D23539"/>
    <w:rsid w:val="00D23B2C"/>
    <w:rsid w:val="00D241C9"/>
    <w:rsid w:val="00D246D8"/>
    <w:rsid w:val="00D248D8"/>
    <w:rsid w:val="00D24E4D"/>
    <w:rsid w:val="00D24EA0"/>
    <w:rsid w:val="00D24F96"/>
    <w:rsid w:val="00D25199"/>
    <w:rsid w:val="00D25794"/>
    <w:rsid w:val="00D26345"/>
    <w:rsid w:val="00D264A3"/>
    <w:rsid w:val="00D2659B"/>
    <w:rsid w:val="00D26664"/>
    <w:rsid w:val="00D267C2"/>
    <w:rsid w:val="00D26AC3"/>
    <w:rsid w:val="00D26E09"/>
    <w:rsid w:val="00D26F40"/>
    <w:rsid w:val="00D270D5"/>
    <w:rsid w:val="00D27349"/>
    <w:rsid w:val="00D274A3"/>
    <w:rsid w:val="00D276FE"/>
    <w:rsid w:val="00D277FE"/>
    <w:rsid w:val="00D27B66"/>
    <w:rsid w:val="00D30142"/>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D2"/>
    <w:rsid w:val="00D379D5"/>
    <w:rsid w:val="00D37B6C"/>
    <w:rsid w:val="00D402FD"/>
    <w:rsid w:val="00D40C5E"/>
    <w:rsid w:val="00D40FF3"/>
    <w:rsid w:val="00D411D0"/>
    <w:rsid w:val="00D4137A"/>
    <w:rsid w:val="00D41813"/>
    <w:rsid w:val="00D41923"/>
    <w:rsid w:val="00D420B6"/>
    <w:rsid w:val="00D424A7"/>
    <w:rsid w:val="00D42599"/>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85C"/>
    <w:rsid w:val="00D45DF3"/>
    <w:rsid w:val="00D460A5"/>
    <w:rsid w:val="00D46703"/>
    <w:rsid w:val="00D4674B"/>
    <w:rsid w:val="00D467EB"/>
    <w:rsid w:val="00D4714A"/>
    <w:rsid w:val="00D476C9"/>
    <w:rsid w:val="00D476CD"/>
    <w:rsid w:val="00D4794A"/>
    <w:rsid w:val="00D50941"/>
    <w:rsid w:val="00D50A30"/>
    <w:rsid w:val="00D50C2E"/>
    <w:rsid w:val="00D50E4F"/>
    <w:rsid w:val="00D517B8"/>
    <w:rsid w:val="00D51A11"/>
    <w:rsid w:val="00D5202F"/>
    <w:rsid w:val="00D52508"/>
    <w:rsid w:val="00D52AED"/>
    <w:rsid w:val="00D53192"/>
    <w:rsid w:val="00D53A30"/>
    <w:rsid w:val="00D53A60"/>
    <w:rsid w:val="00D53EBC"/>
    <w:rsid w:val="00D5407D"/>
    <w:rsid w:val="00D543E7"/>
    <w:rsid w:val="00D5451F"/>
    <w:rsid w:val="00D5494B"/>
    <w:rsid w:val="00D54B6B"/>
    <w:rsid w:val="00D54C20"/>
    <w:rsid w:val="00D54DFC"/>
    <w:rsid w:val="00D54EEB"/>
    <w:rsid w:val="00D55081"/>
    <w:rsid w:val="00D55985"/>
    <w:rsid w:val="00D55BF7"/>
    <w:rsid w:val="00D5662B"/>
    <w:rsid w:val="00D568B7"/>
    <w:rsid w:val="00D56908"/>
    <w:rsid w:val="00D56B15"/>
    <w:rsid w:val="00D56C99"/>
    <w:rsid w:val="00D56E33"/>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5FC"/>
    <w:rsid w:val="00D656AF"/>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1E7C"/>
    <w:rsid w:val="00D720E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3C9"/>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A28"/>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AF1"/>
    <w:rsid w:val="00D95E4F"/>
    <w:rsid w:val="00D95F6C"/>
    <w:rsid w:val="00D95FEC"/>
    <w:rsid w:val="00D960EA"/>
    <w:rsid w:val="00D96432"/>
    <w:rsid w:val="00D96551"/>
    <w:rsid w:val="00D965AE"/>
    <w:rsid w:val="00D96621"/>
    <w:rsid w:val="00D966A7"/>
    <w:rsid w:val="00D966CF"/>
    <w:rsid w:val="00D968B7"/>
    <w:rsid w:val="00D96D99"/>
    <w:rsid w:val="00D96DBB"/>
    <w:rsid w:val="00D96FE3"/>
    <w:rsid w:val="00D9787E"/>
    <w:rsid w:val="00D979BE"/>
    <w:rsid w:val="00D97A3D"/>
    <w:rsid w:val="00DA0109"/>
    <w:rsid w:val="00DA080D"/>
    <w:rsid w:val="00DA0984"/>
    <w:rsid w:val="00DA0C60"/>
    <w:rsid w:val="00DA0E5F"/>
    <w:rsid w:val="00DA12B1"/>
    <w:rsid w:val="00DA15A7"/>
    <w:rsid w:val="00DA1A6C"/>
    <w:rsid w:val="00DA1B18"/>
    <w:rsid w:val="00DA1E9F"/>
    <w:rsid w:val="00DA1ED9"/>
    <w:rsid w:val="00DA23BE"/>
    <w:rsid w:val="00DA23D8"/>
    <w:rsid w:val="00DA28A6"/>
    <w:rsid w:val="00DA2E16"/>
    <w:rsid w:val="00DA35BA"/>
    <w:rsid w:val="00DA3FB2"/>
    <w:rsid w:val="00DA4367"/>
    <w:rsid w:val="00DA4695"/>
    <w:rsid w:val="00DA4985"/>
    <w:rsid w:val="00DA4E7B"/>
    <w:rsid w:val="00DA5016"/>
    <w:rsid w:val="00DA5137"/>
    <w:rsid w:val="00DA5235"/>
    <w:rsid w:val="00DA526F"/>
    <w:rsid w:val="00DA583A"/>
    <w:rsid w:val="00DA5AAE"/>
    <w:rsid w:val="00DA64DE"/>
    <w:rsid w:val="00DA6772"/>
    <w:rsid w:val="00DA69A2"/>
    <w:rsid w:val="00DA6DF1"/>
    <w:rsid w:val="00DA6ECE"/>
    <w:rsid w:val="00DA6F88"/>
    <w:rsid w:val="00DA6FA4"/>
    <w:rsid w:val="00DA71D6"/>
    <w:rsid w:val="00DA7404"/>
    <w:rsid w:val="00DA749C"/>
    <w:rsid w:val="00DA7823"/>
    <w:rsid w:val="00DA78F4"/>
    <w:rsid w:val="00DA792B"/>
    <w:rsid w:val="00DA797C"/>
    <w:rsid w:val="00DA7B95"/>
    <w:rsid w:val="00DA7F56"/>
    <w:rsid w:val="00DB030C"/>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86"/>
    <w:rsid w:val="00DB77C4"/>
    <w:rsid w:val="00DB780B"/>
    <w:rsid w:val="00DB7B56"/>
    <w:rsid w:val="00DC000C"/>
    <w:rsid w:val="00DC030C"/>
    <w:rsid w:val="00DC039E"/>
    <w:rsid w:val="00DC05B5"/>
    <w:rsid w:val="00DC0637"/>
    <w:rsid w:val="00DC0752"/>
    <w:rsid w:val="00DC0BE5"/>
    <w:rsid w:val="00DC10D2"/>
    <w:rsid w:val="00DC1233"/>
    <w:rsid w:val="00DC1328"/>
    <w:rsid w:val="00DC18C8"/>
    <w:rsid w:val="00DC1D94"/>
    <w:rsid w:val="00DC1F1F"/>
    <w:rsid w:val="00DC1F88"/>
    <w:rsid w:val="00DC20B0"/>
    <w:rsid w:val="00DC2E0B"/>
    <w:rsid w:val="00DC3100"/>
    <w:rsid w:val="00DC366E"/>
    <w:rsid w:val="00DC3D64"/>
    <w:rsid w:val="00DC4A00"/>
    <w:rsid w:val="00DC4BD6"/>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3C4E"/>
    <w:rsid w:val="00DE4017"/>
    <w:rsid w:val="00DE41BA"/>
    <w:rsid w:val="00DE41F8"/>
    <w:rsid w:val="00DE461A"/>
    <w:rsid w:val="00DE4A79"/>
    <w:rsid w:val="00DE532C"/>
    <w:rsid w:val="00DE5D9E"/>
    <w:rsid w:val="00DE60B4"/>
    <w:rsid w:val="00DE6414"/>
    <w:rsid w:val="00DE677E"/>
    <w:rsid w:val="00DE6811"/>
    <w:rsid w:val="00DE7044"/>
    <w:rsid w:val="00DE7493"/>
    <w:rsid w:val="00DE7B14"/>
    <w:rsid w:val="00DE7D21"/>
    <w:rsid w:val="00DE7D29"/>
    <w:rsid w:val="00DF0114"/>
    <w:rsid w:val="00DF0C11"/>
    <w:rsid w:val="00DF0DE0"/>
    <w:rsid w:val="00DF0E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551"/>
    <w:rsid w:val="00DF48B4"/>
    <w:rsid w:val="00DF4B39"/>
    <w:rsid w:val="00DF4DD2"/>
    <w:rsid w:val="00DF4E28"/>
    <w:rsid w:val="00DF4ECE"/>
    <w:rsid w:val="00DF4F2E"/>
    <w:rsid w:val="00DF5389"/>
    <w:rsid w:val="00DF55E2"/>
    <w:rsid w:val="00DF5DA1"/>
    <w:rsid w:val="00DF5F45"/>
    <w:rsid w:val="00DF67E9"/>
    <w:rsid w:val="00DF708C"/>
    <w:rsid w:val="00DF72B2"/>
    <w:rsid w:val="00DF7323"/>
    <w:rsid w:val="00DF77A2"/>
    <w:rsid w:val="00DF7D44"/>
    <w:rsid w:val="00DF7DA7"/>
    <w:rsid w:val="00E00010"/>
    <w:rsid w:val="00E0002E"/>
    <w:rsid w:val="00E0023A"/>
    <w:rsid w:val="00E00876"/>
    <w:rsid w:val="00E00ED4"/>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4C9"/>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7D5"/>
    <w:rsid w:val="00E25D05"/>
    <w:rsid w:val="00E25DFD"/>
    <w:rsid w:val="00E25E31"/>
    <w:rsid w:val="00E26202"/>
    <w:rsid w:val="00E264DD"/>
    <w:rsid w:val="00E26758"/>
    <w:rsid w:val="00E26EEE"/>
    <w:rsid w:val="00E27294"/>
    <w:rsid w:val="00E27465"/>
    <w:rsid w:val="00E27541"/>
    <w:rsid w:val="00E278EF"/>
    <w:rsid w:val="00E27B11"/>
    <w:rsid w:val="00E3001D"/>
    <w:rsid w:val="00E30355"/>
    <w:rsid w:val="00E30746"/>
    <w:rsid w:val="00E30A6A"/>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5F9A"/>
    <w:rsid w:val="00E362D6"/>
    <w:rsid w:val="00E36599"/>
    <w:rsid w:val="00E36825"/>
    <w:rsid w:val="00E36ED9"/>
    <w:rsid w:val="00E37686"/>
    <w:rsid w:val="00E37870"/>
    <w:rsid w:val="00E37B2E"/>
    <w:rsid w:val="00E37C59"/>
    <w:rsid w:val="00E37DA0"/>
    <w:rsid w:val="00E405F6"/>
    <w:rsid w:val="00E407C3"/>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949"/>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3A8"/>
    <w:rsid w:val="00E577CD"/>
    <w:rsid w:val="00E57A0A"/>
    <w:rsid w:val="00E57A73"/>
    <w:rsid w:val="00E57BE8"/>
    <w:rsid w:val="00E57E33"/>
    <w:rsid w:val="00E601A7"/>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3C"/>
    <w:rsid w:val="00E71EAB"/>
    <w:rsid w:val="00E72737"/>
    <w:rsid w:val="00E72815"/>
    <w:rsid w:val="00E729AB"/>
    <w:rsid w:val="00E72BD7"/>
    <w:rsid w:val="00E72D9D"/>
    <w:rsid w:val="00E73151"/>
    <w:rsid w:val="00E73615"/>
    <w:rsid w:val="00E73A88"/>
    <w:rsid w:val="00E73B7E"/>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AF2"/>
    <w:rsid w:val="00E81CF5"/>
    <w:rsid w:val="00E81F86"/>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73"/>
    <w:rsid w:val="00E84BA5"/>
    <w:rsid w:val="00E84FEE"/>
    <w:rsid w:val="00E8536B"/>
    <w:rsid w:val="00E85F56"/>
    <w:rsid w:val="00E8610F"/>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917"/>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1BDA"/>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6B7"/>
    <w:rsid w:val="00EA7915"/>
    <w:rsid w:val="00EA7B28"/>
    <w:rsid w:val="00EA7BDD"/>
    <w:rsid w:val="00EA7E94"/>
    <w:rsid w:val="00EA7E97"/>
    <w:rsid w:val="00EB008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114"/>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0F1"/>
    <w:rsid w:val="00EC34BA"/>
    <w:rsid w:val="00EC36F2"/>
    <w:rsid w:val="00EC37E0"/>
    <w:rsid w:val="00EC3838"/>
    <w:rsid w:val="00EC3963"/>
    <w:rsid w:val="00EC3993"/>
    <w:rsid w:val="00EC3AF8"/>
    <w:rsid w:val="00EC3FA9"/>
    <w:rsid w:val="00EC420A"/>
    <w:rsid w:val="00EC47CB"/>
    <w:rsid w:val="00EC4856"/>
    <w:rsid w:val="00EC4B4B"/>
    <w:rsid w:val="00EC4C17"/>
    <w:rsid w:val="00EC5831"/>
    <w:rsid w:val="00EC595E"/>
    <w:rsid w:val="00EC5CC0"/>
    <w:rsid w:val="00EC5D80"/>
    <w:rsid w:val="00EC5E93"/>
    <w:rsid w:val="00EC5F7D"/>
    <w:rsid w:val="00EC64A2"/>
    <w:rsid w:val="00EC6569"/>
    <w:rsid w:val="00EC6C52"/>
    <w:rsid w:val="00EC702D"/>
    <w:rsid w:val="00EC7203"/>
    <w:rsid w:val="00EC7976"/>
    <w:rsid w:val="00EC7DDE"/>
    <w:rsid w:val="00ED0321"/>
    <w:rsid w:val="00ED0409"/>
    <w:rsid w:val="00ED043E"/>
    <w:rsid w:val="00ED0498"/>
    <w:rsid w:val="00ED0745"/>
    <w:rsid w:val="00ED0B0A"/>
    <w:rsid w:val="00ED0F1D"/>
    <w:rsid w:val="00ED15E2"/>
    <w:rsid w:val="00ED18F1"/>
    <w:rsid w:val="00ED1C5B"/>
    <w:rsid w:val="00ED1DC0"/>
    <w:rsid w:val="00ED2769"/>
    <w:rsid w:val="00ED27AF"/>
    <w:rsid w:val="00ED287F"/>
    <w:rsid w:val="00ED29E8"/>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3EA9"/>
    <w:rsid w:val="00EE4001"/>
    <w:rsid w:val="00EE41F5"/>
    <w:rsid w:val="00EE4FE1"/>
    <w:rsid w:val="00EE53EC"/>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4E57"/>
    <w:rsid w:val="00F0501F"/>
    <w:rsid w:val="00F05812"/>
    <w:rsid w:val="00F05BC1"/>
    <w:rsid w:val="00F064EC"/>
    <w:rsid w:val="00F0691C"/>
    <w:rsid w:val="00F06D16"/>
    <w:rsid w:val="00F07639"/>
    <w:rsid w:val="00F07A8D"/>
    <w:rsid w:val="00F07ED4"/>
    <w:rsid w:val="00F10652"/>
    <w:rsid w:val="00F10BC1"/>
    <w:rsid w:val="00F10F23"/>
    <w:rsid w:val="00F10F89"/>
    <w:rsid w:val="00F113C4"/>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5B2"/>
    <w:rsid w:val="00F15721"/>
    <w:rsid w:val="00F15A9A"/>
    <w:rsid w:val="00F15D0C"/>
    <w:rsid w:val="00F15DDE"/>
    <w:rsid w:val="00F16022"/>
    <w:rsid w:val="00F16651"/>
    <w:rsid w:val="00F1669F"/>
    <w:rsid w:val="00F16901"/>
    <w:rsid w:val="00F16B2A"/>
    <w:rsid w:val="00F16CBF"/>
    <w:rsid w:val="00F205CC"/>
    <w:rsid w:val="00F208D9"/>
    <w:rsid w:val="00F210A0"/>
    <w:rsid w:val="00F21811"/>
    <w:rsid w:val="00F219FC"/>
    <w:rsid w:val="00F222B0"/>
    <w:rsid w:val="00F224AB"/>
    <w:rsid w:val="00F22948"/>
    <w:rsid w:val="00F22B24"/>
    <w:rsid w:val="00F22C20"/>
    <w:rsid w:val="00F22C6F"/>
    <w:rsid w:val="00F22E20"/>
    <w:rsid w:val="00F236D9"/>
    <w:rsid w:val="00F239CD"/>
    <w:rsid w:val="00F23A10"/>
    <w:rsid w:val="00F23AA6"/>
    <w:rsid w:val="00F23AFC"/>
    <w:rsid w:val="00F243BF"/>
    <w:rsid w:val="00F244EA"/>
    <w:rsid w:val="00F2456E"/>
    <w:rsid w:val="00F24886"/>
    <w:rsid w:val="00F24E33"/>
    <w:rsid w:val="00F252EE"/>
    <w:rsid w:val="00F25319"/>
    <w:rsid w:val="00F259B1"/>
    <w:rsid w:val="00F25A40"/>
    <w:rsid w:val="00F25C71"/>
    <w:rsid w:val="00F25D14"/>
    <w:rsid w:val="00F25E57"/>
    <w:rsid w:val="00F25EAF"/>
    <w:rsid w:val="00F264EB"/>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9F8"/>
    <w:rsid w:val="00F36BDE"/>
    <w:rsid w:val="00F36D16"/>
    <w:rsid w:val="00F36F95"/>
    <w:rsid w:val="00F373E2"/>
    <w:rsid w:val="00F374DF"/>
    <w:rsid w:val="00F3777B"/>
    <w:rsid w:val="00F37EBF"/>
    <w:rsid w:val="00F401D6"/>
    <w:rsid w:val="00F40224"/>
    <w:rsid w:val="00F40635"/>
    <w:rsid w:val="00F407B7"/>
    <w:rsid w:val="00F4092D"/>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787"/>
    <w:rsid w:val="00F43A9E"/>
    <w:rsid w:val="00F43ADB"/>
    <w:rsid w:val="00F43F4F"/>
    <w:rsid w:val="00F4438D"/>
    <w:rsid w:val="00F446DC"/>
    <w:rsid w:val="00F44E98"/>
    <w:rsid w:val="00F44FED"/>
    <w:rsid w:val="00F45087"/>
    <w:rsid w:val="00F452A7"/>
    <w:rsid w:val="00F45467"/>
    <w:rsid w:val="00F455C5"/>
    <w:rsid w:val="00F4594E"/>
    <w:rsid w:val="00F45E24"/>
    <w:rsid w:val="00F462AC"/>
    <w:rsid w:val="00F467F7"/>
    <w:rsid w:val="00F46C27"/>
    <w:rsid w:val="00F46C97"/>
    <w:rsid w:val="00F46C9B"/>
    <w:rsid w:val="00F46EBD"/>
    <w:rsid w:val="00F46EF7"/>
    <w:rsid w:val="00F46F0B"/>
    <w:rsid w:val="00F470F0"/>
    <w:rsid w:val="00F471D4"/>
    <w:rsid w:val="00F472A4"/>
    <w:rsid w:val="00F4768B"/>
    <w:rsid w:val="00F47925"/>
    <w:rsid w:val="00F4793A"/>
    <w:rsid w:val="00F500C0"/>
    <w:rsid w:val="00F503AE"/>
    <w:rsid w:val="00F506BE"/>
    <w:rsid w:val="00F507EE"/>
    <w:rsid w:val="00F508F2"/>
    <w:rsid w:val="00F5091A"/>
    <w:rsid w:val="00F509E0"/>
    <w:rsid w:val="00F50A70"/>
    <w:rsid w:val="00F510D4"/>
    <w:rsid w:val="00F510F9"/>
    <w:rsid w:val="00F51177"/>
    <w:rsid w:val="00F513F0"/>
    <w:rsid w:val="00F518BD"/>
    <w:rsid w:val="00F51A19"/>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348"/>
    <w:rsid w:val="00F55841"/>
    <w:rsid w:val="00F55BF0"/>
    <w:rsid w:val="00F55C0E"/>
    <w:rsid w:val="00F55E87"/>
    <w:rsid w:val="00F55FD9"/>
    <w:rsid w:val="00F56333"/>
    <w:rsid w:val="00F563DC"/>
    <w:rsid w:val="00F5644F"/>
    <w:rsid w:val="00F56A58"/>
    <w:rsid w:val="00F56D2F"/>
    <w:rsid w:val="00F56E9B"/>
    <w:rsid w:val="00F5772C"/>
    <w:rsid w:val="00F57A40"/>
    <w:rsid w:val="00F57B20"/>
    <w:rsid w:val="00F57BF5"/>
    <w:rsid w:val="00F57ECC"/>
    <w:rsid w:val="00F57F6A"/>
    <w:rsid w:val="00F60106"/>
    <w:rsid w:val="00F60564"/>
    <w:rsid w:val="00F60650"/>
    <w:rsid w:val="00F607BE"/>
    <w:rsid w:val="00F60845"/>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67913"/>
    <w:rsid w:val="00F67EAF"/>
    <w:rsid w:val="00F71732"/>
    <w:rsid w:val="00F71891"/>
    <w:rsid w:val="00F72BFC"/>
    <w:rsid w:val="00F73191"/>
    <w:rsid w:val="00F73271"/>
    <w:rsid w:val="00F73A8C"/>
    <w:rsid w:val="00F74125"/>
    <w:rsid w:val="00F742A4"/>
    <w:rsid w:val="00F74652"/>
    <w:rsid w:val="00F74AC6"/>
    <w:rsid w:val="00F74C70"/>
    <w:rsid w:val="00F74CE1"/>
    <w:rsid w:val="00F74E21"/>
    <w:rsid w:val="00F74FB8"/>
    <w:rsid w:val="00F750F8"/>
    <w:rsid w:val="00F75112"/>
    <w:rsid w:val="00F752A5"/>
    <w:rsid w:val="00F75486"/>
    <w:rsid w:val="00F754F7"/>
    <w:rsid w:val="00F75B15"/>
    <w:rsid w:val="00F76136"/>
    <w:rsid w:val="00F76377"/>
    <w:rsid w:val="00F764E2"/>
    <w:rsid w:val="00F76793"/>
    <w:rsid w:val="00F76C26"/>
    <w:rsid w:val="00F76EB6"/>
    <w:rsid w:val="00F77236"/>
    <w:rsid w:val="00F7775A"/>
    <w:rsid w:val="00F77A24"/>
    <w:rsid w:val="00F77E8B"/>
    <w:rsid w:val="00F803A5"/>
    <w:rsid w:val="00F8071F"/>
    <w:rsid w:val="00F80D9C"/>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11BD"/>
    <w:rsid w:val="00FA1EE2"/>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41"/>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3F4"/>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3CE9"/>
    <w:rsid w:val="00FC46B2"/>
    <w:rsid w:val="00FC48D8"/>
    <w:rsid w:val="00FC4967"/>
    <w:rsid w:val="00FC4E26"/>
    <w:rsid w:val="00FC57C7"/>
    <w:rsid w:val="00FC5ABE"/>
    <w:rsid w:val="00FC5C46"/>
    <w:rsid w:val="00FC5DFE"/>
    <w:rsid w:val="00FC5FED"/>
    <w:rsid w:val="00FC624D"/>
    <w:rsid w:val="00FC6253"/>
    <w:rsid w:val="00FC6278"/>
    <w:rsid w:val="00FC6307"/>
    <w:rsid w:val="00FC6605"/>
    <w:rsid w:val="00FC66B5"/>
    <w:rsid w:val="00FC68AA"/>
    <w:rsid w:val="00FC68E8"/>
    <w:rsid w:val="00FC6A9F"/>
    <w:rsid w:val="00FC6B92"/>
    <w:rsid w:val="00FC6BEF"/>
    <w:rsid w:val="00FC7526"/>
    <w:rsid w:val="00FC7A80"/>
    <w:rsid w:val="00FC7B42"/>
    <w:rsid w:val="00FC7DE1"/>
    <w:rsid w:val="00FD0191"/>
    <w:rsid w:val="00FD01D9"/>
    <w:rsid w:val="00FD0813"/>
    <w:rsid w:val="00FD15CB"/>
    <w:rsid w:val="00FD16FE"/>
    <w:rsid w:val="00FD1895"/>
    <w:rsid w:val="00FD262F"/>
    <w:rsid w:val="00FD2719"/>
    <w:rsid w:val="00FD29DA"/>
    <w:rsid w:val="00FD2ED6"/>
    <w:rsid w:val="00FD32BA"/>
    <w:rsid w:val="00FD341D"/>
    <w:rsid w:val="00FD3C36"/>
    <w:rsid w:val="00FD5721"/>
    <w:rsid w:val="00FD57CA"/>
    <w:rsid w:val="00FD584A"/>
    <w:rsid w:val="00FD5F8C"/>
    <w:rsid w:val="00FD6243"/>
    <w:rsid w:val="00FD631A"/>
    <w:rsid w:val="00FD673D"/>
    <w:rsid w:val="00FD67E3"/>
    <w:rsid w:val="00FD685B"/>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3A6"/>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047"/>
    <w:rsid w:val="00FF1076"/>
    <w:rsid w:val="00FF119D"/>
    <w:rsid w:val="00FF130E"/>
    <w:rsid w:val="00FF15EC"/>
    <w:rsid w:val="00FF2284"/>
    <w:rsid w:val="00FF23D6"/>
    <w:rsid w:val="00FF2980"/>
    <w:rsid w:val="00FF2AD0"/>
    <w:rsid w:val="00FF2EEE"/>
    <w:rsid w:val="00FF3378"/>
    <w:rsid w:val="00FF3430"/>
    <w:rsid w:val="00FF36E3"/>
    <w:rsid w:val="00FF3C26"/>
    <w:rsid w:val="00FF3C97"/>
    <w:rsid w:val="00FF3CF6"/>
    <w:rsid w:val="00FF430D"/>
    <w:rsid w:val="00FF43F6"/>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9E8"/>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14:docId w14:val="036C45BA"/>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60A4"/>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qFormat/>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 w:type="paragraph" w:styleId="HTML">
    <w:name w:val="HTML Preformatted"/>
    <w:basedOn w:val="a0"/>
    <w:link w:val="HTMLChar"/>
    <w:uiPriority w:val="99"/>
    <w:unhideWhenUsed/>
    <w:rsid w:val="00891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1"/>
    <w:link w:val="HTML"/>
    <w:uiPriority w:val="99"/>
    <w:rsid w:val="00891592"/>
    <w:rPr>
      <w:rFonts w:ascii="宋体" w:eastAsia="宋体" w:hAnsi="宋体" w:cs="宋体"/>
      <w:sz w:val="24"/>
      <w:szCs w:val="24"/>
    </w:rPr>
  </w:style>
  <w:style w:type="character" w:customStyle="1" w:styleId="B10">
    <w:name w:val="B1 (文字)"/>
    <w:rsid w:val="00287E7B"/>
    <w:rPr>
      <w:rFonts w:eastAsia="Times New Roman"/>
      <w:lang w:val="en-GB" w:eastAsia="en-GB"/>
    </w:rPr>
  </w:style>
  <w:style w:type="character" w:styleId="afe">
    <w:name w:val="Intense Emphasis"/>
    <w:uiPriority w:val="21"/>
    <w:qFormat/>
    <w:rsid w:val="00287E7B"/>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8385826">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0782249">
      <w:bodyDiv w:val="1"/>
      <w:marLeft w:val="0"/>
      <w:marRight w:val="0"/>
      <w:marTop w:val="0"/>
      <w:marBottom w:val="0"/>
      <w:divBdr>
        <w:top w:val="none" w:sz="0" w:space="0" w:color="auto"/>
        <w:left w:val="none" w:sz="0" w:space="0" w:color="auto"/>
        <w:bottom w:val="none" w:sz="0" w:space="0" w:color="auto"/>
        <w:right w:val="none" w:sz="0" w:space="0" w:color="auto"/>
      </w:divBdr>
      <w:divsChild>
        <w:div w:id="942803165">
          <w:marLeft w:val="0"/>
          <w:marRight w:val="0"/>
          <w:marTop w:val="0"/>
          <w:marBottom w:val="0"/>
          <w:divBdr>
            <w:top w:val="none" w:sz="0" w:space="0" w:color="auto"/>
            <w:left w:val="none" w:sz="0" w:space="0" w:color="auto"/>
            <w:bottom w:val="none" w:sz="0" w:space="0" w:color="auto"/>
            <w:right w:val="none" w:sz="0" w:space="0" w:color="auto"/>
          </w:divBdr>
          <w:divsChild>
            <w:div w:id="572785789">
              <w:marLeft w:val="900"/>
              <w:marRight w:val="900"/>
              <w:marTop w:val="270"/>
              <w:marBottom w:val="0"/>
              <w:divBdr>
                <w:top w:val="none" w:sz="0" w:space="0" w:color="auto"/>
                <w:left w:val="none" w:sz="0" w:space="0" w:color="auto"/>
                <w:bottom w:val="none" w:sz="0" w:space="0" w:color="auto"/>
                <w:right w:val="none" w:sz="0" w:space="0" w:color="auto"/>
              </w:divBdr>
              <w:divsChild>
                <w:div w:id="1412578743">
                  <w:marLeft w:val="0"/>
                  <w:marRight w:val="0"/>
                  <w:marTop w:val="0"/>
                  <w:marBottom w:val="0"/>
                  <w:divBdr>
                    <w:top w:val="none" w:sz="0" w:space="0" w:color="auto"/>
                    <w:left w:val="none" w:sz="0" w:space="0" w:color="auto"/>
                    <w:bottom w:val="none" w:sz="0" w:space="0" w:color="auto"/>
                    <w:right w:val="none" w:sz="0" w:space="0" w:color="auto"/>
                  </w:divBdr>
                  <w:divsChild>
                    <w:div w:id="2069254999">
                      <w:marLeft w:val="150"/>
                      <w:marRight w:val="0"/>
                      <w:marTop w:val="0"/>
                      <w:marBottom w:val="0"/>
                      <w:divBdr>
                        <w:top w:val="none" w:sz="0" w:space="0" w:color="auto"/>
                        <w:left w:val="none" w:sz="0" w:space="0" w:color="auto"/>
                        <w:bottom w:val="none" w:sz="0" w:space="0" w:color="auto"/>
                        <w:right w:val="none" w:sz="0" w:space="0" w:color="auto"/>
                      </w:divBdr>
                      <w:divsChild>
                        <w:div w:id="141596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978005">
      <w:bodyDiv w:val="1"/>
      <w:marLeft w:val="0"/>
      <w:marRight w:val="0"/>
      <w:marTop w:val="0"/>
      <w:marBottom w:val="0"/>
      <w:divBdr>
        <w:top w:val="none" w:sz="0" w:space="0" w:color="auto"/>
        <w:left w:val="none" w:sz="0" w:space="0" w:color="auto"/>
        <w:bottom w:val="none" w:sz="0" w:space="0" w:color="auto"/>
        <w:right w:val="none" w:sz="0" w:space="0" w:color="auto"/>
      </w:divBdr>
    </w:div>
    <w:div w:id="221789469">
      <w:bodyDiv w:val="1"/>
      <w:marLeft w:val="0"/>
      <w:marRight w:val="0"/>
      <w:marTop w:val="0"/>
      <w:marBottom w:val="0"/>
      <w:divBdr>
        <w:top w:val="none" w:sz="0" w:space="0" w:color="auto"/>
        <w:left w:val="none" w:sz="0" w:space="0" w:color="auto"/>
        <w:bottom w:val="none" w:sz="0" w:space="0" w:color="auto"/>
        <w:right w:val="none" w:sz="0" w:space="0" w:color="auto"/>
      </w:divBdr>
      <w:divsChild>
        <w:div w:id="699549838">
          <w:marLeft w:val="0"/>
          <w:marRight w:val="0"/>
          <w:marTop w:val="0"/>
          <w:marBottom w:val="0"/>
          <w:divBdr>
            <w:top w:val="none" w:sz="0" w:space="0" w:color="auto"/>
            <w:left w:val="none" w:sz="0" w:space="0" w:color="auto"/>
            <w:bottom w:val="none" w:sz="0" w:space="0" w:color="auto"/>
            <w:right w:val="none" w:sz="0" w:space="0" w:color="auto"/>
          </w:divBdr>
          <w:divsChild>
            <w:div w:id="63766796">
              <w:marLeft w:val="900"/>
              <w:marRight w:val="900"/>
              <w:marTop w:val="270"/>
              <w:marBottom w:val="0"/>
              <w:divBdr>
                <w:top w:val="none" w:sz="0" w:space="0" w:color="auto"/>
                <w:left w:val="none" w:sz="0" w:space="0" w:color="auto"/>
                <w:bottom w:val="none" w:sz="0" w:space="0" w:color="auto"/>
                <w:right w:val="none" w:sz="0" w:space="0" w:color="auto"/>
              </w:divBdr>
              <w:divsChild>
                <w:div w:id="1794011858">
                  <w:marLeft w:val="0"/>
                  <w:marRight w:val="0"/>
                  <w:marTop w:val="0"/>
                  <w:marBottom w:val="0"/>
                  <w:divBdr>
                    <w:top w:val="none" w:sz="0" w:space="0" w:color="auto"/>
                    <w:left w:val="none" w:sz="0" w:space="0" w:color="auto"/>
                    <w:bottom w:val="none" w:sz="0" w:space="0" w:color="auto"/>
                    <w:right w:val="none" w:sz="0" w:space="0" w:color="auto"/>
                  </w:divBdr>
                  <w:divsChild>
                    <w:div w:id="1461723441">
                      <w:marLeft w:val="150"/>
                      <w:marRight w:val="0"/>
                      <w:marTop w:val="0"/>
                      <w:marBottom w:val="0"/>
                      <w:divBdr>
                        <w:top w:val="none" w:sz="0" w:space="0" w:color="auto"/>
                        <w:left w:val="none" w:sz="0" w:space="0" w:color="auto"/>
                        <w:bottom w:val="none" w:sz="0" w:space="0" w:color="auto"/>
                        <w:right w:val="none" w:sz="0" w:space="0" w:color="auto"/>
                      </w:divBdr>
                      <w:divsChild>
                        <w:div w:id="2069257251">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5567264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7796762">
      <w:bodyDiv w:val="1"/>
      <w:marLeft w:val="0"/>
      <w:marRight w:val="0"/>
      <w:marTop w:val="0"/>
      <w:marBottom w:val="0"/>
      <w:divBdr>
        <w:top w:val="none" w:sz="0" w:space="0" w:color="auto"/>
        <w:left w:val="none" w:sz="0" w:space="0" w:color="auto"/>
        <w:bottom w:val="none" w:sz="0" w:space="0" w:color="auto"/>
        <w:right w:val="none" w:sz="0" w:space="0" w:color="auto"/>
      </w:divBdr>
      <w:divsChild>
        <w:div w:id="2018533260">
          <w:marLeft w:val="0"/>
          <w:marRight w:val="0"/>
          <w:marTop w:val="0"/>
          <w:marBottom w:val="0"/>
          <w:divBdr>
            <w:top w:val="none" w:sz="0" w:space="0" w:color="auto"/>
            <w:left w:val="none" w:sz="0" w:space="0" w:color="auto"/>
            <w:bottom w:val="none" w:sz="0" w:space="0" w:color="auto"/>
            <w:right w:val="none" w:sz="0" w:space="0" w:color="auto"/>
          </w:divBdr>
          <w:divsChild>
            <w:div w:id="1303585164">
              <w:marLeft w:val="900"/>
              <w:marRight w:val="900"/>
              <w:marTop w:val="270"/>
              <w:marBottom w:val="0"/>
              <w:divBdr>
                <w:top w:val="none" w:sz="0" w:space="0" w:color="auto"/>
                <w:left w:val="none" w:sz="0" w:space="0" w:color="auto"/>
                <w:bottom w:val="none" w:sz="0" w:space="0" w:color="auto"/>
                <w:right w:val="none" w:sz="0" w:space="0" w:color="auto"/>
              </w:divBdr>
              <w:divsChild>
                <w:div w:id="915018809">
                  <w:marLeft w:val="0"/>
                  <w:marRight w:val="0"/>
                  <w:marTop w:val="0"/>
                  <w:marBottom w:val="0"/>
                  <w:divBdr>
                    <w:top w:val="none" w:sz="0" w:space="0" w:color="auto"/>
                    <w:left w:val="none" w:sz="0" w:space="0" w:color="auto"/>
                    <w:bottom w:val="none" w:sz="0" w:space="0" w:color="auto"/>
                    <w:right w:val="none" w:sz="0" w:space="0" w:color="auto"/>
                  </w:divBdr>
                  <w:divsChild>
                    <w:div w:id="1664697180">
                      <w:marLeft w:val="150"/>
                      <w:marRight w:val="0"/>
                      <w:marTop w:val="0"/>
                      <w:marBottom w:val="0"/>
                      <w:divBdr>
                        <w:top w:val="none" w:sz="0" w:space="0" w:color="auto"/>
                        <w:left w:val="none" w:sz="0" w:space="0" w:color="auto"/>
                        <w:bottom w:val="none" w:sz="0" w:space="0" w:color="auto"/>
                        <w:right w:val="none" w:sz="0" w:space="0" w:color="auto"/>
                      </w:divBdr>
                      <w:divsChild>
                        <w:div w:id="719867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61387588">
      <w:bodyDiv w:val="1"/>
      <w:marLeft w:val="0"/>
      <w:marRight w:val="0"/>
      <w:marTop w:val="0"/>
      <w:marBottom w:val="0"/>
      <w:divBdr>
        <w:top w:val="none" w:sz="0" w:space="0" w:color="auto"/>
        <w:left w:val="none" w:sz="0" w:space="0" w:color="auto"/>
        <w:bottom w:val="none" w:sz="0" w:space="0" w:color="auto"/>
        <w:right w:val="none" w:sz="0" w:space="0" w:color="auto"/>
      </w:divBdr>
      <w:divsChild>
        <w:div w:id="1068118160">
          <w:marLeft w:val="0"/>
          <w:marRight w:val="0"/>
          <w:marTop w:val="0"/>
          <w:marBottom w:val="0"/>
          <w:divBdr>
            <w:top w:val="none" w:sz="0" w:space="0" w:color="auto"/>
            <w:left w:val="none" w:sz="0" w:space="0" w:color="auto"/>
            <w:bottom w:val="none" w:sz="0" w:space="0" w:color="auto"/>
            <w:right w:val="none" w:sz="0" w:space="0" w:color="auto"/>
          </w:divBdr>
          <w:divsChild>
            <w:div w:id="1264800976">
              <w:marLeft w:val="900"/>
              <w:marRight w:val="900"/>
              <w:marTop w:val="270"/>
              <w:marBottom w:val="0"/>
              <w:divBdr>
                <w:top w:val="none" w:sz="0" w:space="0" w:color="auto"/>
                <w:left w:val="none" w:sz="0" w:space="0" w:color="auto"/>
                <w:bottom w:val="none" w:sz="0" w:space="0" w:color="auto"/>
                <w:right w:val="none" w:sz="0" w:space="0" w:color="auto"/>
              </w:divBdr>
              <w:divsChild>
                <w:div w:id="1335109390">
                  <w:marLeft w:val="0"/>
                  <w:marRight w:val="0"/>
                  <w:marTop w:val="0"/>
                  <w:marBottom w:val="0"/>
                  <w:divBdr>
                    <w:top w:val="none" w:sz="0" w:space="0" w:color="auto"/>
                    <w:left w:val="none" w:sz="0" w:space="0" w:color="auto"/>
                    <w:bottom w:val="none" w:sz="0" w:space="0" w:color="auto"/>
                    <w:right w:val="none" w:sz="0" w:space="0" w:color="auto"/>
                  </w:divBdr>
                  <w:divsChild>
                    <w:div w:id="576863522">
                      <w:marLeft w:val="150"/>
                      <w:marRight w:val="0"/>
                      <w:marTop w:val="0"/>
                      <w:marBottom w:val="0"/>
                      <w:divBdr>
                        <w:top w:val="none" w:sz="0" w:space="0" w:color="auto"/>
                        <w:left w:val="none" w:sz="0" w:space="0" w:color="auto"/>
                        <w:bottom w:val="none" w:sz="0" w:space="0" w:color="auto"/>
                        <w:right w:val="none" w:sz="0" w:space="0" w:color="auto"/>
                      </w:divBdr>
                      <w:divsChild>
                        <w:div w:id="142017518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455921">
      <w:bodyDiv w:val="1"/>
      <w:marLeft w:val="0"/>
      <w:marRight w:val="0"/>
      <w:marTop w:val="0"/>
      <w:marBottom w:val="0"/>
      <w:divBdr>
        <w:top w:val="none" w:sz="0" w:space="0" w:color="auto"/>
        <w:left w:val="none" w:sz="0" w:space="0" w:color="auto"/>
        <w:bottom w:val="none" w:sz="0" w:space="0" w:color="auto"/>
        <w:right w:val="none" w:sz="0" w:space="0" w:color="auto"/>
      </w:divBdr>
      <w:divsChild>
        <w:div w:id="720444352">
          <w:marLeft w:val="0"/>
          <w:marRight w:val="0"/>
          <w:marTop w:val="0"/>
          <w:marBottom w:val="0"/>
          <w:divBdr>
            <w:top w:val="none" w:sz="0" w:space="0" w:color="auto"/>
            <w:left w:val="none" w:sz="0" w:space="0" w:color="auto"/>
            <w:bottom w:val="none" w:sz="0" w:space="0" w:color="auto"/>
            <w:right w:val="none" w:sz="0" w:space="0" w:color="auto"/>
          </w:divBdr>
          <w:divsChild>
            <w:div w:id="962886926">
              <w:marLeft w:val="900"/>
              <w:marRight w:val="900"/>
              <w:marTop w:val="270"/>
              <w:marBottom w:val="0"/>
              <w:divBdr>
                <w:top w:val="none" w:sz="0" w:space="0" w:color="auto"/>
                <w:left w:val="none" w:sz="0" w:space="0" w:color="auto"/>
                <w:bottom w:val="none" w:sz="0" w:space="0" w:color="auto"/>
                <w:right w:val="none" w:sz="0" w:space="0" w:color="auto"/>
              </w:divBdr>
              <w:divsChild>
                <w:div w:id="1749184388">
                  <w:marLeft w:val="0"/>
                  <w:marRight w:val="0"/>
                  <w:marTop w:val="0"/>
                  <w:marBottom w:val="0"/>
                  <w:divBdr>
                    <w:top w:val="none" w:sz="0" w:space="0" w:color="auto"/>
                    <w:left w:val="none" w:sz="0" w:space="0" w:color="auto"/>
                    <w:bottom w:val="none" w:sz="0" w:space="0" w:color="auto"/>
                    <w:right w:val="none" w:sz="0" w:space="0" w:color="auto"/>
                  </w:divBdr>
                  <w:divsChild>
                    <w:div w:id="614335714">
                      <w:marLeft w:val="150"/>
                      <w:marRight w:val="0"/>
                      <w:marTop w:val="0"/>
                      <w:marBottom w:val="0"/>
                      <w:divBdr>
                        <w:top w:val="none" w:sz="0" w:space="0" w:color="auto"/>
                        <w:left w:val="none" w:sz="0" w:space="0" w:color="auto"/>
                        <w:bottom w:val="none" w:sz="0" w:space="0" w:color="auto"/>
                        <w:right w:val="none" w:sz="0" w:space="0" w:color="auto"/>
                      </w:divBdr>
                      <w:divsChild>
                        <w:div w:id="32810067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8639365">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368358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0253035">
      <w:bodyDiv w:val="1"/>
      <w:marLeft w:val="0"/>
      <w:marRight w:val="0"/>
      <w:marTop w:val="0"/>
      <w:marBottom w:val="0"/>
      <w:divBdr>
        <w:top w:val="none" w:sz="0" w:space="0" w:color="auto"/>
        <w:left w:val="none" w:sz="0" w:space="0" w:color="auto"/>
        <w:bottom w:val="none" w:sz="0" w:space="0" w:color="auto"/>
        <w:right w:val="none" w:sz="0" w:space="0" w:color="auto"/>
      </w:divBdr>
    </w:div>
    <w:div w:id="728268467">
      <w:bodyDiv w:val="1"/>
      <w:marLeft w:val="0"/>
      <w:marRight w:val="0"/>
      <w:marTop w:val="0"/>
      <w:marBottom w:val="0"/>
      <w:divBdr>
        <w:top w:val="none" w:sz="0" w:space="0" w:color="auto"/>
        <w:left w:val="none" w:sz="0" w:space="0" w:color="auto"/>
        <w:bottom w:val="none" w:sz="0" w:space="0" w:color="auto"/>
        <w:right w:val="none" w:sz="0" w:space="0" w:color="auto"/>
      </w:divBdr>
      <w:divsChild>
        <w:div w:id="1040784801">
          <w:marLeft w:val="0"/>
          <w:marRight w:val="0"/>
          <w:marTop w:val="0"/>
          <w:marBottom w:val="0"/>
          <w:divBdr>
            <w:top w:val="none" w:sz="0" w:space="0" w:color="auto"/>
            <w:left w:val="none" w:sz="0" w:space="0" w:color="auto"/>
            <w:bottom w:val="none" w:sz="0" w:space="0" w:color="auto"/>
            <w:right w:val="none" w:sz="0" w:space="0" w:color="auto"/>
          </w:divBdr>
          <w:divsChild>
            <w:div w:id="429550081">
              <w:marLeft w:val="900"/>
              <w:marRight w:val="900"/>
              <w:marTop w:val="270"/>
              <w:marBottom w:val="0"/>
              <w:divBdr>
                <w:top w:val="none" w:sz="0" w:space="0" w:color="auto"/>
                <w:left w:val="none" w:sz="0" w:space="0" w:color="auto"/>
                <w:bottom w:val="none" w:sz="0" w:space="0" w:color="auto"/>
                <w:right w:val="none" w:sz="0" w:space="0" w:color="auto"/>
              </w:divBdr>
              <w:divsChild>
                <w:div w:id="306712217">
                  <w:marLeft w:val="0"/>
                  <w:marRight w:val="0"/>
                  <w:marTop w:val="0"/>
                  <w:marBottom w:val="0"/>
                  <w:divBdr>
                    <w:top w:val="none" w:sz="0" w:space="0" w:color="auto"/>
                    <w:left w:val="none" w:sz="0" w:space="0" w:color="auto"/>
                    <w:bottom w:val="none" w:sz="0" w:space="0" w:color="auto"/>
                    <w:right w:val="none" w:sz="0" w:space="0" w:color="auto"/>
                  </w:divBdr>
                  <w:divsChild>
                    <w:div w:id="1196888269">
                      <w:marLeft w:val="150"/>
                      <w:marRight w:val="0"/>
                      <w:marTop w:val="0"/>
                      <w:marBottom w:val="0"/>
                      <w:divBdr>
                        <w:top w:val="none" w:sz="0" w:space="0" w:color="auto"/>
                        <w:left w:val="none" w:sz="0" w:space="0" w:color="auto"/>
                        <w:bottom w:val="none" w:sz="0" w:space="0" w:color="auto"/>
                        <w:right w:val="none" w:sz="0" w:space="0" w:color="auto"/>
                      </w:divBdr>
                      <w:divsChild>
                        <w:div w:id="172949784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1525987">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5503561">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693616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15882771">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6834374">
      <w:bodyDiv w:val="1"/>
      <w:marLeft w:val="0"/>
      <w:marRight w:val="0"/>
      <w:marTop w:val="0"/>
      <w:marBottom w:val="0"/>
      <w:divBdr>
        <w:top w:val="none" w:sz="0" w:space="0" w:color="auto"/>
        <w:left w:val="none" w:sz="0" w:space="0" w:color="auto"/>
        <w:bottom w:val="none" w:sz="0" w:space="0" w:color="auto"/>
        <w:right w:val="none" w:sz="0" w:space="0" w:color="auto"/>
      </w:divBdr>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7914882">
      <w:bodyDiv w:val="1"/>
      <w:marLeft w:val="0"/>
      <w:marRight w:val="0"/>
      <w:marTop w:val="0"/>
      <w:marBottom w:val="0"/>
      <w:divBdr>
        <w:top w:val="none" w:sz="0" w:space="0" w:color="auto"/>
        <w:left w:val="none" w:sz="0" w:space="0" w:color="auto"/>
        <w:bottom w:val="none" w:sz="0" w:space="0" w:color="auto"/>
        <w:right w:val="none" w:sz="0" w:space="0" w:color="auto"/>
      </w:divBdr>
      <w:divsChild>
        <w:div w:id="1360349421">
          <w:marLeft w:val="0"/>
          <w:marRight w:val="0"/>
          <w:marTop w:val="0"/>
          <w:marBottom w:val="0"/>
          <w:divBdr>
            <w:top w:val="none" w:sz="0" w:space="0" w:color="auto"/>
            <w:left w:val="none" w:sz="0" w:space="0" w:color="auto"/>
            <w:bottom w:val="none" w:sz="0" w:space="0" w:color="auto"/>
            <w:right w:val="none" w:sz="0" w:space="0" w:color="auto"/>
          </w:divBdr>
          <w:divsChild>
            <w:div w:id="1189564213">
              <w:marLeft w:val="900"/>
              <w:marRight w:val="900"/>
              <w:marTop w:val="270"/>
              <w:marBottom w:val="0"/>
              <w:divBdr>
                <w:top w:val="none" w:sz="0" w:space="0" w:color="auto"/>
                <w:left w:val="none" w:sz="0" w:space="0" w:color="auto"/>
                <w:bottom w:val="none" w:sz="0" w:space="0" w:color="auto"/>
                <w:right w:val="none" w:sz="0" w:space="0" w:color="auto"/>
              </w:divBdr>
              <w:divsChild>
                <w:div w:id="1309826226">
                  <w:marLeft w:val="0"/>
                  <w:marRight w:val="0"/>
                  <w:marTop w:val="0"/>
                  <w:marBottom w:val="0"/>
                  <w:divBdr>
                    <w:top w:val="none" w:sz="0" w:space="0" w:color="auto"/>
                    <w:left w:val="none" w:sz="0" w:space="0" w:color="auto"/>
                    <w:bottom w:val="none" w:sz="0" w:space="0" w:color="auto"/>
                    <w:right w:val="none" w:sz="0" w:space="0" w:color="auto"/>
                  </w:divBdr>
                  <w:divsChild>
                    <w:div w:id="1946378556">
                      <w:marLeft w:val="150"/>
                      <w:marRight w:val="0"/>
                      <w:marTop w:val="0"/>
                      <w:marBottom w:val="0"/>
                      <w:divBdr>
                        <w:top w:val="none" w:sz="0" w:space="0" w:color="auto"/>
                        <w:left w:val="none" w:sz="0" w:space="0" w:color="auto"/>
                        <w:bottom w:val="none" w:sz="0" w:space="0" w:color="auto"/>
                        <w:right w:val="none" w:sz="0" w:space="0" w:color="auto"/>
                      </w:divBdr>
                      <w:divsChild>
                        <w:div w:id="46211887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02942976">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6666149">
      <w:bodyDiv w:val="1"/>
      <w:marLeft w:val="0"/>
      <w:marRight w:val="0"/>
      <w:marTop w:val="0"/>
      <w:marBottom w:val="0"/>
      <w:divBdr>
        <w:top w:val="none" w:sz="0" w:space="0" w:color="auto"/>
        <w:left w:val="none" w:sz="0" w:space="0" w:color="auto"/>
        <w:bottom w:val="none" w:sz="0" w:space="0" w:color="auto"/>
        <w:right w:val="none" w:sz="0" w:space="0" w:color="auto"/>
      </w:divBdr>
      <w:divsChild>
        <w:div w:id="1410273363">
          <w:marLeft w:val="0"/>
          <w:marRight w:val="0"/>
          <w:marTop w:val="0"/>
          <w:marBottom w:val="0"/>
          <w:divBdr>
            <w:top w:val="none" w:sz="0" w:space="0" w:color="auto"/>
            <w:left w:val="none" w:sz="0" w:space="0" w:color="auto"/>
            <w:bottom w:val="none" w:sz="0" w:space="0" w:color="auto"/>
            <w:right w:val="none" w:sz="0" w:space="0" w:color="auto"/>
          </w:divBdr>
          <w:divsChild>
            <w:div w:id="2125271250">
              <w:marLeft w:val="900"/>
              <w:marRight w:val="900"/>
              <w:marTop w:val="270"/>
              <w:marBottom w:val="0"/>
              <w:divBdr>
                <w:top w:val="none" w:sz="0" w:space="0" w:color="auto"/>
                <w:left w:val="none" w:sz="0" w:space="0" w:color="auto"/>
                <w:bottom w:val="none" w:sz="0" w:space="0" w:color="auto"/>
                <w:right w:val="none" w:sz="0" w:space="0" w:color="auto"/>
              </w:divBdr>
              <w:divsChild>
                <w:div w:id="829977748">
                  <w:marLeft w:val="0"/>
                  <w:marRight w:val="0"/>
                  <w:marTop w:val="0"/>
                  <w:marBottom w:val="0"/>
                  <w:divBdr>
                    <w:top w:val="none" w:sz="0" w:space="0" w:color="auto"/>
                    <w:left w:val="none" w:sz="0" w:space="0" w:color="auto"/>
                    <w:bottom w:val="none" w:sz="0" w:space="0" w:color="auto"/>
                    <w:right w:val="none" w:sz="0" w:space="0" w:color="auto"/>
                  </w:divBdr>
                  <w:divsChild>
                    <w:div w:id="1269310991">
                      <w:marLeft w:val="150"/>
                      <w:marRight w:val="0"/>
                      <w:marTop w:val="0"/>
                      <w:marBottom w:val="0"/>
                      <w:divBdr>
                        <w:top w:val="none" w:sz="0" w:space="0" w:color="auto"/>
                        <w:left w:val="none" w:sz="0" w:space="0" w:color="auto"/>
                        <w:bottom w:val="none" w:sz="0" w:space="0" w:color="auto"/>
                        <w:right w:val="none" w:sz="0" w:space="0" w:color="auto"/>
                      </w:divBdr>
                      <w:divsChild>
                        <w:div w:id="24912213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54258637">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2286036">
      <w:bodyDiv w:val="1"/>
      <w:marLeft w:val="0"/>
      <w:marRight w:val="0"/>
      <w:marTop w:val="0"/>
      <w:marBottom w:val="0"/>
      <w:divBdr>
        <w:top w:val="none" w:sz="0" w:space="0" w:color="auto"/>
        <w:left w:val="none" w:sz="0" w:space="0" w:color="auto"/>
        <w:bottom w:val="none" w:sz="0" w:space="0" w:color="auto"/>
        <w:right w:val="none" w:sz="0" w:space="0" w:color="auto"/>
      </w:divBdr>
      <w:divsChild>
        <w:div w:id="723139293">
          <w:marLeft w:val="0"/>
          <w:marRight w:val="0"/>
          <w:marTop w:val="0"/>
          <w:marBottom w:val="0"/>
          <w:divBdr>
            <w:top w:val="none" w:sz="0" w:space="0" w:color="auto"/>
            <w:left w:val="none" w:sz="0" w:space="0" w:color="auto"/>
            <w:bottom w:val="none" w:sz="0" w:space="0" w:color="auto"/>
            <w:right w:val="none" w:sz="0" w:space="0" w:color="auto"/>
          </w:divBdr>
          <w:divsChild>
            <w:div w:id="351808112">
              <w:marLeft w:val="900"/>
              <w:marRight w:val="900"/>
              <w:marTop w:val="270"/>
              <w:marBottom w:val="0"/>
              <w:divBdr>
                <w:top w:val="none" w:sz="0" w:space="0" w:color="auto"/>
                <w:left w:val="none" w:sz="0" w:space="0" w:color="auto"/>
                <w:bottom w:val="none" w:sz="0" w:space="0" w:color="auto"/>
                <w:right w:val="none" w:sz="0" w:space="0" w:color="auto"/>
              </w:divBdr>
              <w:divsChild>
                <w:div w:id="726876005">
                  <w:marLeft w:val="0"/>
                  <w:marRight w:val="0"/>
                  <w:marTop w:val="0"/>
                  <w:marBottom w:val="0"/>
                  <w:divBdr>
                    <w:top w:val="none" w:sz="0" w:space="0" w:color="auto"/>
                    <w:left w:val="none" w:sz="0" w:space="0" w:color="auto"/>
                    <w:bottom w:val="none" w:sz="0" w:space="0" w:color="auto"/>
                    <w:right w:val="none" w:sz="0" w:space="0" w:color="auto"/>
                  </w:divBdr>
                  <w:divsChild>
                    <w:div w:id="756710693">
                      <w:marLeft w:val="150"/>
                      <w:marRight w:val="0"/>
                      <w:marTop w:val="0"/>
                      <w:marBottom w:val="0"/>
                      <w:divBdr>
                        <w:top w:val="none" w:sz="0" w:space="0" w:color="auto"/>
                        <w:left w:val="none" w:sz="0" w:space="0" w:color="auto"/>
                        <w:bottom w:val="none" w:sz="0" w:space="0" w:color="auto"/>
                        <w:right w:val="none" w:sz="0" w:space="0" w:color="auto"/>
                      </w:divBdr>
                      <w:divsChild>
                        <w:div w:id="131552776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23453250">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16071644">
      <w:bodyDiv w:val="1"/>
      <w:marLeft w:val="0"/>
      <w:marRight w:val="0"/>
      <w:marTop w:val="0"/>
      <w:marBottom w:val="0"/>
      <w:divBdr>
        <w:top w:val="none" w:sz="0" w:space="0" w:color="auto"/>
        <w:left w:val="none" w:sz="0" w:space="0" w:color="auto"/>
        <w:bottom w:val="none" w:sz="0" w:space="0" w:color="auto"/>
        <w:right w:val="none" w:sz="0" w:space="0" w:color="auto"/>
      </w:divBdr>
      <w:divsChild>
        <w:div w:id="1803235013">
          <w:marLeft w:val="0"/>
          <w:marRight w:val="0"/>
          <w:marTop w:val="0"/>
          <w:marBottom w:val="0"/>
          <w:divBdr>
            <w:top w:val="none" w:sz="0" w:space="0" w:color="auto"/>
            <w:left w:val="none" w:sz="0" w:space="0" w:color="auto"/>
            <w:bottom w:val="none" w:sz="0" w:space="0" w:color="auto"/>
            <w:right w:val="none" w:sz="0" w:space="0" w:color="auto"/>
          </w:divBdr>
          <w:divsChild>
            <w:div w:id="384060591">
              <w:marLeft w:val="900"/>
              <w:marRight w:val="900"/>
              <w:marTop w:val="270"/>
              <w:marBottom w:val="0"/>
              <w:divBdr>
                <w:top w:val="none" w:sz="0" w:space="0" w:color="auto"/>
                <w:left w:val="none" w:sz="0" w:space="0" w:color="auto"/>
                <w:bottom w:val="none" w:sz="0" w:space="0" w:color="auto"/>
                <w:right w:val="none" w:sz="0" w:space="0" w:color="auto"/>
              </w:divBdr>
              <w:divsChild>
                <w:div w:id="1590037485">
                  <w:marLeft w:val="0"/>
                  <w:marRight w:val="0"/>
                  <w:marTop w:val="0"/>
                  <w:marBottom w:val="0"/>
                  <w:divBdr>
                    <w:top w:val="none" w:sz="0" w:space="0" w:color="auto"/>
                    <w:left w:val="none" w:sz="0" w:space="0" w:color="auto"/>
                    <w:bottom w:val="none" w:sz="0" w:space="0" w:color="auto"/>
                    <w:right w:val="none" w:sz="0" w:space="0" w:color="auto"/>
                  </w:divBdr>
                  <w:divsChild>
                    <w:div w:id="1975522892">
                      <w:marLeft w:val="150"/>
                      <w:marRight w:val="0"/>
                      <w:marTop w:val="0"/>
                      <w:marBottom w:val="0"/>
                      <w:divBdr>
                        <w:top w:val="none" w:sz="0" w:space="0" w:color="auto"/>
                        <w:left w:val="none" w:sz="0" w:space="0" w:color="auto"/>
                        <w:bottom w:val="none" w:sz="0" w:space="0" w:color="auto"/>
                        <w:right w:val="none" w:sz="0" w:space="0" w:color="auto"/>
                      </w:divBdr>
                      <w:divsChild>
                        <w:div w:id="172467151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90457968">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8209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2163457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317445">
      <w:bodyDiv w:val="1"/>
      <w:marLeft w:val="0"/>
      <w:marRight w:val="0"/>
      <w:marTop w:val="0"/>
      <w:marBottom w:val="0"/>
      <w:divBdr>
        <w:top w:val="none" w:sz="0" w:space="0" w:color="auto"/>
        <w:left w:val="none" w:sz="0" w:space="0" w:color="auto"/>
        <w:bottom w:val="none" w:sz="0" w:space="0" w:color="auto"/>
        <w:right w:val="none" w:sz="0" w:space="0" w:color="auto"/>
      </w:divBdr>
    </w:div>
    <w:div w:id="1831477342">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717703">
      <w:bodyDiv w:val="1"/>
      <w:marLeft w:val="0"/>
      <w:marRight w:val="0"/>
      <w:marTop w:val="0"/>
      <w:marBottom w:val="0"/>
      <w:divBdr>
        <w:top w:val="none" w:sz="0" w:space="0" w:color="auto"/>
        <w:left w:val="none" w:sz="0" w:space="0" w:color="auto"/>
        <w:bottom w:val="none" w:sz="0" w:space="0" w:color="auto"/>
        <w:right w:val="none" w:sz="0" w:space="0" w:color="auto"/>
      </w:divBdr>
    </w:div>
    <w:div w:id="1898659675">
      <w:bodyDiv w:val="1"/>
      <w:marLeft w:val="0"/>
      <w:marRight w:val="0"/>
      <w:marTop w:val="0"/>
      <w:marBottom w:val="0"/>
      <w:divBdr>
        <w:top w:val="none" w:sz="0" w:space="0" w:color="auto"/>
        <w:left w:val="none" w:sz="0" w:space="0" w:color="auto"/>
        <w:bottom w:val="none" w:sz="0" w:space="0" w:color="auto"/>
        <w:right w:val="none" w:sz="0" w:space="0" w:color="auto"/>
      </w:divBdr>
      <w:divsChild>
        <w:div w:id="2115785827">
          <w:marLeft w:val="0"/>
          <w:marRight w:val="0"/>
          <w:marTop w:val="0"/>
          <w:marBottom w:val="0"/>
          <w:divBdr>
            <w:top w:val="none" w:sz="0" w:space="0" w:color="auto"/>
            <w:left w:val="none" w:sz="0" w:space="0" w:color="auto"/>
            <w:bottom w:val="none" w:sz="0" w:space="0" w:color="auto"/>
            <w:right w:val="none" w:sz="0" w:space="0" w:color="auto"/>
          </w:divBdr>
          <w:divsChild>
            <w:div w:id="101337867">
              <w:marLeft w:val="900"/>
              <w:marRight w:val="900"/>
              <w:marTop w:val="270"/>
              <w:marBottom w:val="0"/>
              <w:divBdr>
                <w:top w:val="none" w:sz="0" w:space="0" w:color="auto"/>
                <w:left w:val="none" w:sz="0" w:space="0" w:color="auto"/>
                <w:bottom w:val="none" w:sz="0" w:space="0" w:color="auto"/>
                <w:right w:val="none" w:sz="0" w:space="0" w:color="auto"/>
              </w:divBdr>
              <w:divsChild>
                <w:div w:id="1235431604">
                  <w:marLeft w:val="0"/>
                  <w:marRight w:val="0"/>
                  <w:marTop w:val="0"/>
                  <w:marBottom w:val="0"/>
                  <w:divBdr>
                    <w:top w:val="none" w:sz="0" w:space="0" w:color="auto"/>
                    <w:left w:val="none" w:sz="0" w:space="0" w:color="auto"/>
                    <w:bottom w:val="none" w:sz="0" w:space="0" w:color="auto"/>
                    <w:right w:val="none" w:sz="0" w:space="0" w:color="auto"/>
                  </w:divBdr>
                  <w:divsChild>
                    <w:div w:id="806243355">
                      <w:marLeft w:val="150"/>
                      <w:marRight w:val="0"/>
                      <w:marTop w:val="0"/>
                      <w:marBottom w:val="0"/>
                      <w:divBdr>
                        <w:top w:val="none" w:sz="0" w:space="0" w:color="auto"/>
                        <w:left w:val="none" w:sz="0" w:space="0" w:color="auto"/>
                        <w:bottom w:val="none" w:sz="0" w:space="0" w:color="auto"/>
                        <w:right w:val="none" w:sz="0" w:space="0" w:color="auto"/>
                      </w:divBdr>
                      <w:divsChild>
                        <w:div w:id="16865965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13929393">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5528705">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07463366">
      <w:bodyDiv w:val="1"/>
      <w:marLeft w:val="0"/>
      <w:marRight w:val="0"/>
      <w:marTop w:val="0"/>
      <w:marBottom w:val="0"/>
      <w:divBdr>
        <w:top w:val="none" w:sz="0" w:space="0" w:color="auto"/>
        <w:left w:val="none" w:sz="0" w:space="0" w:color="auto"/>
        <w:bottom w:val="none" w:sz="0" w:space="0" w:color="auto"/>
        <w:right w:val="none" w:sz="0" w:space="0" w:color="auto"/>
      </w:divBdr>
      <w:divsChild>
        <w:div w:id="491683168">
          <w:marLeft w:val="0"/>
          <w:marRight w:val="0"/>
          <w:marTop w:val="0"/>
          <w:marBottom w:val="0"/>
          <w:divBdr>
            <w:top w:val="none" w:sz="0" w:space="0" w:color="auto"/>
            <w:left w:val="none" w:sz="0" w:space="0" w:color="auto"/>
            <w:bottom w:val="none" w:sz="0" w:space="0" w:color="auto"/>
            <w:right w:val="none" w:sz="0" w:space="0" w:color="auto"/>
          </w:divBdr>
          <w:divsChild>
            <w:div w:id="361245463">
              <w:marLeft w:val="900"/>
              <w:marRight w:val="900"/>
              <w:marTop w:val="270"/>
              <w:marBottom w:val="0"/>
              <w:divBdr>
                <w:top w:val="none" w:sz="0" w:space="0" w:color="auto"/>
                <w:left w:val="none" w:sz="0" w:space="0" w:color="auto"/>
                <w:bottom w:val="none" w:sz="0" w:space="0" w:color="auto"/>
                <w:right w:val="none" w:sz="0" w:space="0" w:color="auto"/>
              </w:divBdr>
              <w:divsChild>
                <w:div w:id="1312758326">
                  <w:marLeft w:val="0"/>
                  <w:marRight w:val="0"/>
                  <w:marTop w:val="0"/>
                  <w:marBottom w:val="0"/>
                  <w:divBdr>
                    <w:top w:val="none" w:sz="0" w:space="0" w:color="auto"/>
                    <w:left w:val="none" w:sz="0" w:space="0" w:color="auto"/>
                    <w:bottom w:val="none" w:sz="0" w:space="0" w:color="auto"/>
                    <w:right w:val="none" w:sz="0" w:space="0" w:color="auto"/>
                  </w:divBdr>
                  <w:divsChild>
                    <w:div w:id="1456413333">
                      <w:marLeft w:val="150"/>
                      <w:marRight w:val="0"/>
                      <w:marTop w:val="0"/>
                      <w:marBottom w:val="0"/>
                      <w:divBdr>
                        <w:top w:val="none" w:sz="0" w:space="0" w:color="auto"/>
                        <w:left w:val="none" w:sz="0" w:space="0" w:color="auto"/>
                        <w:bottom w:val="none" w:sz="0" w:space="0" w:color="auto"/>
                        <w:right w:val="none" w:sz="0" w:space="0" w:color="auto"/>
                      </w:divBdr>
                      <w:divsChild>
                        <w:div w:id="380715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1532350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E0F78-E7DB-4737-8BC7-6A60337A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31</TotalTime>
  <Pages>9</Pages>
  <Words>4309</Words>
  <Characters>21272</Characters>
  <Application>Microsoft Office Word</Application>
  <DocSecurity>0</DocSecurity>
  <Lines>177</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Caozhenzhen (Zhenzhen, Huawei Wireless)</dc:creator>
  <cp:keywords>Huawei</cp:keywords>
  <cp:lastModifiedBy>Huawei-Yulong</cp:lastModifiedBy>
  <cp:revision>8</cp:revision>
  <cp:lastPrinted>2016-09-19T04:11:00Z</cp:lastPrinted>
  <dcterms:created xsi:type="dcterms:W3CDTF">2021-08-06T01:42:00Z</dcterms:created>
  <dcterms:modified xsi:type="dcterms:W3CDTF">2021-08-06T03:19:00Z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(3)OLkiOBsh48nhZ99dyUNl1x4TDzGcxRyrltWxJKfv9kUjDQAzv1NsWja5jbKDcPEn4H93xjAo
Nd3gF0V/xV0evl7eN2rwT6BIbMPA2zAubDfU3NaGZ0i9YDA1PWgOmwJ0HkH+DrQmjIzzd5rl
kHpZ9RQ7n/3Iy/vZaSzxRTy4laj0eLj4VcO5598dfED6n1CNo5q/9SFnNh999hMG/+Mocvfz
JOb6q1OaojmnkNHgYL</vt:lpwstr>
  </property>
  <property fmtid="{D5CDD505-2E9C-101B-9397-08002B2CF9AE}" pid="25" name="_2015_ms_pID_725343_00">
    <vt:lpwstr>_2015_ms_pID_725343</vt:lpwstr>
  </property>
  <property fmtid="{D5CDD505-2E9C-101B-9397-08002B2CF9AE}" pid="26" name="_2015_ms_pID_7253431">
    <vt:lpwstr>V3xR11bE8XzLcCP886dUCMLeUmK5I1U1Hq3UdihlSNNRFgtOBrCtEZ
XtZ256pXbVTdY423gPpOj3bfp3/c6PbTZLgoIoWAhi9ZAfAERCHJDEzOwUAo7HvWkriS+TWS
NCa1/nD/5MKtg33ZVq4v7pjFuAwl55l4V006/TtWdkAQZ6HirkRWIgifUutiDX/mzN0UEPsr
R1x9jWC+X79A1fOPlYJylvqm3mtEgLIeaAO9</vt:lpwstr>
  </property>
  <property fmtid="{D5CDD505-2E9C-101B-9397-08002B2CF9AE}" pid="27" name="_2015_ms_pID_7253431_00">
    <vt:lpwstr>_2015_ms_pID_7253431</vt:lpwstr>
  </property>
  <property fmtid="{D5CDD505-2E9C-101B-9397-08002B2CF9AE}" pid="28" name="_2015_ms_pID_7253432">
    <vt:lpwstr>WQ==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1624498838</vt:lpwstr>
  </property>
</Properties>
</file>